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00DF" w14:textId="77777777" w:rsidR="009604B2" w:rsidRDefault="009604B2" w:rsidP="00CC1BBB">
      <w:pPr>
        <w:rPr>
          <w:b/>
          <w:u w:val="single"/>
        </w:rPr>
      </w:pPr>
      <w:bookmarkStart w:id="0" w:name="OLE_LINK1"/>
      <w:bookmarkStart w:id="1" w:name="OLE_LINK2"/>
    </w:p>
    <w:p w14:paraId="506BA718" w14:textId="77777777" w:rsidR="009604B2" w:rsidRDefault="009604B2" w:rsidP="00CC1BBB">
      <w:pPr>
        <w:rPr>
          <w:b/>
          <w:u w:val="single"/>
        </w:rPr>
      </w:pPr>
    </w:p>
    <w:p w14:paraId="1A85155B" w14:textId="77777777" w:rsidR="009604B2" w:rsidRDefault="009604B2" w:rsidP="00CC1BBB">
      <w:pPr>
        <w:rPr>
          <w:b/>
          <w:u w:val="single"/>
        </w:rPr>
      </w:pPr>
    </w:p>
    <w:p w14:paraId="6835AC1A" w14:textId="77777777" w:rsidR="009604B2" w:rsidRDefault="009604B2" w:rsidP="009604B2">
      <w:pPr>
        <w:jc w:val="center"/>
        <w:rPr>
          <w:b/>
        </w:rPr>
      </w:pPr>
    </w:p>
    <w:p w14:paraId="37F11448" w14:textId="77777777" w:rsidR="009604B2" w:rsidRDefault="009604B2" w:rsidP="009604B2">
      <w:pPr>
        <w:jc w:val="center"/>
        <w:rPr>
          <w:b/>
        </w:rPr>
      </w:pPr>
    </w:p>
    <w:p w14:paraId="1A5B359C" w14:textId="6E185E93" w:rsidR="009604B2" w:rsidRDefault="009604B2" w:rsidP="009604B2">
      <w:pPr>
        <w:jc w:val="center"/>
        <w:rPr>
          <w:b/>
        </w:rPr>
      </w:pPr>
      <w:r>
        <w:rPr>
          <w:b/>
        </w:rPr>
        <w:t>LITERATURE REVIEW</w:t>
      </w:r>
    </w:p>
    <w:p w14:paraId="3EE910E3" w14:textId="6C0E5C0D" w:rsidR="009604B2" w:rsidRDefault="009604B2" w:rsidP="009604B2">
      <w:pPr>
        <w:jc w:val="center"/>
        <w:rPr>
          <w:b/>
        </w:rPr>
      </w:pPr>
      <w:r>
        <w:rPr>
          <w:b/>
        </w:rPr>
        <w:t>MATERNAL-CHILD HEALTH DATA</w:t>
      </w:r>
    </w:p>
    <w:p w14:paraId="7DEE4E5D" w14:textId="7ADB349A" w:rsidR="009604B2" w:rsidRPr="009604B2" w:rsidRDefault="009604B2" w:rsidP="009604B2">
      <w:pPr>
        <w:jc w:val="center"/>
        <w:rPr>
          <w:b/>
        </w:rPr>
      </w:pPr>
      <w:r>
        <w:rPr>
          <w:b/>
        </w:rPr>
        <w:t>FOR KENYA AND FOR KISII COUNTY</w:t>
      </w:r>
    </w:p>
    <w:p w14:paraId="64A42752" w14:textId="77777777" w:rsidR="009604B2" w:rsidRDefault="009604B2" w:rsidP="00CC1BBB">
      <w:pPr>
        <w:rPr>
          <w:b/>
          <w:u w:val="single"/>
        </w:rPr>
      </w:pPr>
    </w:p>
    <w:p w14:paraId="7F2BB0E1" w14:textId="77777777" w:rsidR="009604B2" w:rsidRDefault="009604B2" w:rsidP="00CC1BBB">
      <w:pPr>
        <w:rPr>
          <w:b/>
          <w:u w:val="single"/>
        </w:rPr>
      </w:pPr>
    </w:p>
    <w:p w14:paraId="5290F151" w14:textId="77777777" w:rsidR="009604B2" w:rsidRDefault="009604B2" w:rsidP="00CC1BBB">
      <w:pPr>
        <w:rPr>
          <w:b/>
          <w:u w:val="single"/>
        </w:rPr>
      </w:pPr>
    </w:p>
    <w:p w14:paraId="4F1F711B" w14:textId="77777777" w:rsidR="009604B2" w:rsidRDefault="009604B2" w:rsidP="00CC1BBB">
      <w:pPr>
        <w:rPr>
          <w:b/>
          <w:u w:val="single"/>
        </w:rPr>
      </w:pPr>
    </w:p>
    <w:p w14:paraId="6230D704" w14:textId="2163DCBA" w:rsidR="009604B2" w:rsidRDefault="009604B2" w:rsidP="00CC1BBB">
      <w:pPr>
        <w:rPr>
          <w:b/>
          <w:u w:val="single"/>
        </w:rPr>
      </w:pPr>
    </w:p>
    <w:p w14:paraId="00C43D89" w14:textId="77777777" w:rsidR="009604B2" w:rsidRDefault="009604B2" w:rsidP="00CC1BBB">
      <w:pPr>
        <w:rPr>
          <w:b/>
          <w:u w:val="single"/>
        </w:rPr>
      </w:pPr>
    </w:p>
    <w:p w14:paraId="60333726" w14:textId="77777777" w:rsidR="009604B2" w:rsidRDefault="009604B2" w:rsidP="00CC1BBB">
      <w:pPr>
        <w:rPr>
          <w:b/>
          <w:u w:val="single"/>
        </w:rPr>
      </w:pPr>
    </w:p>
    <w:p w14:paraId="146483EB" w14:textId="37AD5334" w:rsidR="009604B2" w:rsidRDefault="009604B2" w:rsidP="009604B2">
      <w:pPr>
        <w:jc w:val="center"/>
        <w:rPr>
          <w:b/>
        </w:rPr>
      </w:pPr>
      <w:r>
        <w:rPr>
          <w:b/>
        </w:rPr>
        <w:t>Alyssa Scott</w:t>
      </w:r>
    </w:p>
    <w:p w14:paraId="0F5DD0E7" w14:textId="0EBA770D" w:rsidR="009604B2" w:rsidRDefault="009604B2" w:rsidP="009604B2">
      <w:pPr>
        <w:jc w:val="center"/>
        <w:rPr>
          <w:b/>
        </w:rPr>
      </w:pPr>
      <w:r>
        <w:rPr>
          <w:b/>
        </w:rPr>
        <w:t>Practicum Project</w:t>
      </w:r>
    </w:p>
    <w:p w14:paraId="2275EC71" w14:textId="2D711E63" w:rsidR="009604B2" w:rsidRPr="009604B2" w:rsidRDefault="009604B2" w:rsidP="009604B2">
      <w:pPr>
        <w:jc w:val="center"/>
        <w:rPr>
          <w:b/>
        </w:rPr>
      </w:pPr>
      <w:r>
        <w:rPr>
          <w:b/>
        </w:rPr>
        <w:t>April, 2022</w:t>
      </w:r>
    </w:p>
    <w:p w14:paraId="0C077E1D" w14:textId="77777777" w:rsidR="009604B2" w:rsidRDefault="009604B2" w:rsidP="00CC1BBB">
      <w:pPr>
        <w:rPr>
          <w:b/>
          <w:u w:val="single"/>
        </w:rPr>
      </w:pPr>
    </w:p>
    <w:p w14:paraId="72C39C35" w14:textId="77777777" w:rsidR="009604B2" w:rsidRDefault="009604B2" w:rsidP="00CC1BBB">
      <w:pPr>
        <w:rPr>
          <w:b/>
          <w:u w:val="single"/>
        </w:rPr>
      </w:pPr>
    </w:p>
    <w:p w14:paraId="782D18A5" w14:textId="77777777" w:rsidR="009604B2" w:rsidRDefault="009604B2" w:rsidP="00CC1BBB">
      <w:pPr>
        <w:rPr>
          <w:b/>
          <w:u w:val="single"/>
        </w:rPr>
      </w:pPr>
    </w:p>
    <w:p w14:paraId="1BD6D168" w14:textId="77777777" w:rsidR="009604B2" w:rsidRDefault="009604B2" w:rsidP="00CC1BBB">
      <w:pPr>
        <w:rPr>
          <w:b/>
          <w:u w:val="single"/>
        </w:rPr>
      </w:pPr>
    </w:p>
    <w:p w14:paraId="0AD6CBE4" w14:textId="77777777" w:rsidR="009604B2" w:rsidRDefault="009604B2" w:rsidP="00CC1BBB">
      <w:pPr>
        <w:rPr>
          <w:b/>
          <w:u w:val="single"/>
        </w:rPr>
      </w:pPr>
    </w:p>
    <w:p w14:paraId="7EB6A70D" w14:textId="77777777" w:rsidR="009604B2" w:rsidRDefault="009604B2" w:rsidP="00CC1BBB">
      <w:pPr>
        <w:rPr>
          <w:b/>
          <w:u w:val="single"/>
        </w:rPr>
      </w:pPr>
    </w:p>
    <w:p w14:paraId="17F65692" w14:textId="77777777" w:rsidR="009604B2" w:rsidRDefault="009604B2" w:rsidP="00CC1BBB">
      <w:pPr>
        <w:rPr>
          <w:b/>
          <w:u w:val="single"/>
        </w:rPr>
      </w:pPr>
    </w:p>
    <w:p w14:paraId="7241F018" w14:textId="77777777" w:rsidR="009604B2" w:rsidRDefault="009604B2" w:rsidP="00CC1BBB">
      <w:pPr>
        <w:rPr>
          <w:b/>
          <w:u w:val="single"/>
        </w:rPr>
      </w:pPr>
    </w:p>
    <w:p w14:paraId="5966C6CB" w14:textId="77777777" w:rsidR="009604B2" w:rsidRDefault="009604B2" w:rsidP="00CC1BBB">
      <w:pPr>
        <w:rPr>
          <w:b/>
          <w:u w:val="single"/>
        </w:rPr>
      </w:pPr>
    </w:p>
    <w:p w14:paraId="36684015" w14:textId="77777777" w:rsidR="009604B2" w:rsidRDefault="009604B2" w:rsidP="00CC1BBB">
      <w:pPr>
        <w:rPr>
          <w:b/>
          <w:u w:val="single"/>
        </w:rPr>
      </w:pPr>
    </w:p>
    <w:p w14:paraId="3C562DA0" w14:textId="77777777" w:rsidR="009604B2" w:rsidRDefault="009604B2" w:rsidP="00CC1BBB">
      <w:pPr>
        <w:rPr>
          <w:b/>
          <w:u w:val="single"/>
        </w:rPr>
      </w:pPr>
    </w:p>
    <w:p w14:paraId="7D2C1AEA" w14:textId="77777777" w:rsidR="009604B2" w:rsidRDefault="009604B2" w:rsidP="00CC1BBB">
      <w:pPr>
        <w:rPr>
          <w:b/>
          <w:u w:val="single"/>
        </w:rPr>
      </w:pPr>
    </w:p>
    <w:p w14:paraId="57D88356" w14:textId="77777777" w:rsidR="009604B2" w:rsidRDefault="009604B2" w:rsidP="00CC1BBB">
      <w:pPr>
        <w:rPr>
          <w:b/>
          <w:u w:val="single"/>
        </w:rPr>
      </w:pPr>
    </w:p>
    <w:p w14:paraId="54C014B4" w14:textId="77777777" w:rsidR="009604B2" w:rsidRDefault="009604B2" w:rsidP="00CC1BBB">
      <w:pPr>
        <w:rPr>
          <w:b/>
          <w:u w:val="single"/>
        </w:rPr>
      </w:pPr>
    </w:p>
    <w:p w14:paraId="2A61425A" w14:textId="77777777" w:rsidR="009604B2" w:rsidRDefault="009604B2" w:rsidP="00CC1BBB">
      <w:pPr>
        <w:rPr>
          <w:b/>
          <w:u w:val="single"/>
        </w:rPr>
      </w:pPr>
    </w:p>
    <w:p w14:paraId="2E458CAD" w14:textId="77777777" w:rsidR="009604B2" w:rsidRDefault="009604B2" w:rsidP="00CC1BBB">
      <w:pPr>
        <w:rPr>
          <w:b/>
          <w:u w:val="single"/>
        </w:rPr>
      </w:pPr>
    </w:p>
    <w:p w14:paraId="58BAE114" w14:textId="77777777" w:rsidR="009604B2" w:rsidRDefault="009604B2" w:rsidP="00CC1BBB">
      <w:pPr>
        <w:rPr>
          <w:b/>
          <w:u w:val="single"/>
        </w:rPr>
      </w:pPr>
    </w:p>
    <w:p w14:paraId="4AD7E761" w14:textId="77777777" w:rsidR="009604B2" w:rsidRDefault="009604B2" w:rsidP="00CC1BBB">
      <w:pPr>
        <w:rPr>
          <w:b/>
          <w:u w:val="single"/>
        </w:rPr>
      </w:pPr>
    </w:p>
    <w:p w14:paraId="06066F7A" w14:textId="77777777" w:rsidR="009604B2" w:rsidRDefault="009604B2" w:rsidP="00CC1BBB">
      <w:pPr>
        <w:rPr>
          <w:b/>
          <w:u w:val="single"/>
        </w:rPr>
      </w:pPr>
    </w:p>
    <w:p w14:paraId="5B21B49B" w14:textId="77777777" w:rsidR="009604B2" w:rsidRDefault="009604B2" w:rsidP="00CC1BBB">
      <w:pPr>
        <w:rPr>
          <w:b/>
          <w:u w:val="single"/>
        </w:rPr>
      </w:pPr>
    </w:p>
    <w:p w14:paraId="1179ADB3" w14:textId="77777777" w:rsidR="009604B2" w:rsidRDefault="009604B2" w:rsidP="00CC1BBB">
      <w:pPr>
        <w:rPr>
          <w:b/>
          <w:u w:val="single"/>
        </w:rPr>
      </w:pPr>
    </w:p>
    <w:p w14:paraId="76682C1E" w14:textId="77777777" w:rsidR="009604B2" w:rsidRDefault="009604B2" w:rsidP="00CC1BBB">
      <w:pPr>
        <w:rPr>
          <w:b/>
          <w:u w:val="single"/>
        </w:rPr>
      </w:pPr>
    </w:p>
    <w:p w14:paraId="3E559D24" w14:textId="77777777" w:rsidR="009604B2" w:rsidRDefault="009604B2" w:rsidP="00CC1BBB">
      <w:pPr>
        <w:rPr>
          <w:b/>
          <w:u w:val="single"/>
        </w:rPr>
      </w:pPr>
    </w:p>
    <w:p w14:paraId="6D234B31" w14:textId="77777777" w:rsidR="009604B2" w:rsidRDefault="009604B2" w:rsidP="00CC1BBB">
      <w:pPr>
        <w:rPr>
          <w:b/>
          <w:u w:val="single"/>
        </w:rPr>
      </w:pPr>
    </w:p>
    <w:p w14:paraId="261806D8" w14:textId="77777777" w:rsidR="009604B2" w:rsidRDefault="009604B2" w:rsidP="00CC1BBB">
      <w:pPr>
        <w:rPr>
          <w:b/>
          <w:u w:val="single"/>
        </w:rPr>
      </w:pPr>
    </w:p>
    <w:p w14:paraId="4B2FEF46" w14:textId="77777777" w:rsidR="009604B2" w:rsidRDefault="009604B2" w:rsidP="00CC1BBB">
      <w:pPr>
        <w:rPr>
          <w:b/>
          <w:u w:val="single"/>
        </w:rPr>
      </w:pPr>
    </w:p>
    <w:p w14:paraId="280730EE" w14:textId="77777777" w:rsidR="009604B2" w:rsidRDefault="009604B2" w:rsidP="00CC1BBB">
      <w:pPr>
        <w:rPr>
          <w:b/>
          <w:u w:val="single"/>
        </w:rPr>
      </w:pPr>
    </w:p>
    <w:p w14:paraId="3A2BADBE" w14:textId="77777777" w:rsidR="009604B2" w:rsidRDefault="009604B2" w:rsidP="00CC1BBB">
      <w:pPr>
        <w:rPr>
          <w:b/>
          <w:u w:val="single"/>
        </w:rPr>
      </w:pPr>
    </w:p>
    <w:p w14:paraId="17A30301" w14:textId="77777777" w:rsidR="009604B2" w:rsidRDefault="009604B2" w:rsidP="00CC1BBB">
      <w:pPr>
        <w:rPr>
          <w:b/>
          <w:u w:val="single"/>
        </w:rPr>
      </w:pPr>
    </w:p>
    <w:p w14:paraId="7FEE2F7C" w14:textId="77777777" w:rsidR="009604B2" w:rsidRDefault="009604B2" w:rsidP="00CC1BBB">
      <w:pPr>
        <w:rPr>
          <w:b/>
          <w:u w:val="single"/>
        </w:rPr>
      </w:pPr>
    </w:p>
    <w:p w14:paraId="00975A1C" w14:textId="77777777" w:rsidR="009604B2" w:rsidRDefault="009604B2" w:rsidP="00CC1BBB">
      <w:pPr>
        <w:rPr>
          <w:b/>
          <w:u w:val="single"/>
        </w:rPr>
      </w:pPr>
    </w:p>
    <w:p w14:paraId="248035E7" w14:textId="496888F6" w:rsidR="00102737" w:rsidRDefault="00CC1BBB" w:rsidP="00CC1BBB">
      <w:pPr>
        <w:rPr>
          <w:b/>
        </w:rPr>
      </w:pPr>
      <w:r>
        <w:rPr>
          <w:b/>
          <w:u w:val="single"/>
        </w:rPr>
        <w:t>Introduction</w:t>
      </w:r>
    </w:p>
    <w:p w14:paraId="0E67F62B" w14:textId="77777777" w:rsidR="00CC1BBB" w:rsidRDefault="00CC1BBB" w:rsidP="00CC1BBB"/>
    <w:p w14:paraId="11603CD9" w14:textId="7B769ADB" w:rsidR="00CC1BBB" w:rsidRDefault="00CC1BBB" w:rsidP="00CC1BBB">
      <w:r>
        <w:t>Kenya is a country located in Eastern Africa. It borders Ethiopia, Somalia, South Sudan, Tanzania, and Uganda, as well as the Indian Ocean and Lake Victoria.</w:t>
      </w:r>
      <w:r w:rsidR="00F65725" w:rsidRPr="00682502">
        <w:rPr>
          <w:rStyle w:val="FootnoteReference"/>
        </w:rPr>
        <w:footnoteReference w:id="1"/>
      </w:r>
      <w:r>
        <w:t xml:space="preserve"> As of 2018, the population of Kenya was at 48.5 million, and the average life expectancy was 63 years for men and 68 years for women.</w:t>
      </w:r>
      <w:r w:rsidR="00F65725" w:rsidRPr="00682502">
        <w:rPr>
          <w:rStyle w:val="FootnoteReference"/>
        </w:rPr>
        <w:footnoteReference w:id="2"/>
      </w:r>
      <w:r>
        <w:t xml:space="preserve"> As of 2010, Kenya has consisted of 47 counties.</w:t>
      </w:r>
      <w:r w:rsidR="00F65725" w:rsidRPr="00682502">
        <w:rPr>
          <w:rStyle w:val="FootnoteReference"/>
        </w:rPr>
        <w:footnoteReference w:id="3"/>
      </w:r>
      <w:r>
        <w:t xml:space="preserve"> One of these counties is Kisii County, located in western Kenya. Kisii</w:t>
      </w:r>
      <w:r w:rsidR="00E53E74">
        <w:t xml:space="preserve"> County covers over 1,300 square kilometers and has a population of over 1.2 million people in 2012.</w:t>
      </w:r>
      <w:r w:rsidR="00F65725" w:rsidRPr="00682502">
        <w:rPr>
          <w:rStyle w:val="FootnoteReference"/>
        </w:rPr>
        <w:footnoteReference w:id="4"/>
      </w:r>
      <w:r>
        <w:t xml:space="preserve"> </w:t>
      </w:r>
    </w:p>
    <w:p w14:paraId="101FB873" w14:textId="154EFA88" w:rsidR="00682502" w:rsidRDefault="00682502" w:rsidP="00CC1BBB"/>
    <w:p w14:paraId="11EDE670" w14:textId="594F33BA" w:rsidR="00682502" w:rsidRPr="00CC1BBB" w:rsidRDefault="00682502" w:rsidP="00CC1BBB">
      <w:r>
        <w:t xml:space="preserve">This review of Kenya, with a specific focus on Kisii County when possible, will focus on five main health categories: 1) Maternal and Newborn Health; 2) Under-five Child Health; 3) Nutrition Across Life Stages; 4) </w:t>
      </w:r>
      <w:r w:rsidRPr="001A5B90">
        <w:t>Adolescent Sexual and Reproductive Health</w:t>
      </w:r>
      <w:r>
        <w:t xml:space="preserve">; and 5) HIV and Sexual and Gender-based Violence (SGBV). </w:t>
      </w:r>
    </w:p>
    <w:p w14:paraId="1E500566" w14:textId="6F564B39" w:rsidR="00102737" w:rsidRPr="001A5B90" w:rsidRDefault="00102737" w:rsidP="00102737"/>
    <w:p w14:paraId="5C90C9D5" w14:textId="23752A39" w:rsidR="00102737" w:rsidRPr="00DF37D8" w:rsidRDefault="00DA0041" w:rsidP="00102737">
      <w:pPr>
        <w:rPr>
          <w:u w:val="single"/>
        </w:rPr>
      </w:pPr>
      <w:r w:rsidRPr="00DF37D8">
        <w:rPr>
          <w:b/>
          <w:u w:val="single"/>
        </w:rPr>
        <w:t>Health focus #1:</w:t>
      </w:r>
      <w:r w:rsidRPr="00DF37D8">
        <w:rPr>
          <w:u w:val="single"/>
        </w:rPr>
        <w:t xml:space="preserve"> </w:t>
      </w:r>
      <w:r w:rsidRPr="00DF37D8">
        <w:rPr>
          <w:b/>
          <w:u w:val="single"/>
        </w:rPr>
        <w:t>Maternal and Newborn Health</w:t>
      </w:r>
      <w:r w:rsidR="00270B83" w:rsidRPr="00DF37D8">
        <w:rPr>
          <w:u w:val="single"/>
        </w:rPr>
        <w:t xml:space="preserve"> </w:t>
      </w:r>
    </w:p>
    <w:p w14:paraId="71900327" w14:textId="2FC1F8C6" w:rsidR="00CE2D2D" w:rsidRDefault="00CE2D2D" w:rsidP="000A061E">
      <w:pPr>
        <w:rPr>
          <w:b/>
        </w:rPr>
      </w:pPr>
    </w:p>
    <w:p w14:paraId="3F717E4D" w14:textId="6A586013" w:rsidR="00D0155B" w:rsidRPr="00D0155B" w:rsidRDefault="00D0155B" w:rsidP="000A061E">
      <w:pPr>
        <w:rPr>
          <w:b/>
        </w:rPr>
      </w:pPr>
      <w:r>
        <w:rPr>
          <w:b/>
        </w:rPr>
        <w:t>Quality and access to care.</w:t>
      </w:r>
    </w:p>
    <w:p w14:paraId="22263B69" w14:textId="77777777" w:rsidR="00D0155B" w:rsidRDefault="00D0155B" w:rsidP="000A061E">
      <w:pPr>
        <w:rPr>
          <w:b/>
        </w:rPr>
      </w:pPr>
    </w:p>
    <w:p w14:paraId="234ADC13" w14:textId="4CF6401A" w:rsidR="000A061E" w:rsidRDefault="000A061E" w:rsidP="000A061E">
      <w:r>
        <w:rPr>
          <w:b/>
        </w:rPr>
        <w:t xml:space="preserve">Location of births. </w:t>
      </w:r>
      <w:r w:rsidR="00B84EB3">
        <w:t>In 2014, 37.4% of births in Kenya took place at home.</w:t>
      </w:r>
      <w:r w:rsidR="00F65725" w:rsidRPr="00682502">
        <w:rPr>
          <w:rStyle w:val="FootnoteReference"/>
        </w:rPr>
        <w:footnoteReference w:id="5"/>
      </w:r>
      <w:r w:rsidR="00B84EB3">
        <w:t xml:space="preserve"> Skilled providers were present 61.8% of deliveries.</w:t>
      </w:r>
      <w:r w:rsidR="00F65725" w:rsidRPr="00682502">
        <w:rPr>
          <w:rStyle w:val="FootnoteReference"/>
        </w:rPr>
        <w:footnoteReference w:id="6"/>
      </w:r>
      <w:r w:rsidR="00B84EB3">
        <w:t xml:space="preserve"> Women living in rural areas (48.9%), women with no education (73.7%), and women in the lowest wealth quintile (68.2%) were most likely to deliver at home.</w:t>
      </w:r>
      <w:r w:rsidR="00F65725" w:rsidRPr="00682502">
        <w:rPr>
          <w:rStyle w:val="FootnoteReference"/>
        </w:rPr>
        <w:footnoteReference w:id="7"/>
      </w:r>
      <w:r w:rsidR="00B84EB3">
        <w:t xml:space="preserve"> </w:t>
      </w:r>
      <w:r>
        <w:t>As of 2017, 72.6% of births in Kenya were attended by a skilled birth attendant (doctor, nurse, midwife, or other country-specific medical staff).</w:t>
      </w:r>
      <w:r w:rsidR="00F65725" w:rsidRPr="00682502">
        <w:rPr>
          <w:rStyle w:val="FootnoteReference"/>
        </w:rPr>
        <w:footnoteReference w:id="8"/>
      </w:r>
      <w:r w:rsidR="006E45C5">
        <w:t xml:space="preserve"> </w:t>
      </w:r>
    </w:p>
    <w:p w14:paraId="791DDCAA" w14:textId="09A74F69" w:rsidR="00B84EB3" w:rsidRDefault="00B84EB3" w:rsidP="000A061E"/>
    <w:p w14:paraId="729E271D" w14:textId="44707D2E" w:rsidR="00B84EB3" w:rsidRDefault="00B84EB3" w:rsidP="000A061E">
      <w:r>
        <w:t>In Kisii County in 2014, 30.0% of births occurred at home, while 69.3% occurred in a health facility.</w:t>
      </w:r>
      <w:r w:rsidR="00F65725" w:rsidRPr="00682502">
        <w:rPr>
          <w:rStyle w:val="FootnoteReference"/>
        </w:rPr>
        <w:footnoteReference w:id="9"/>
      </w:r>
      <w:r w:rsidR="00CA514C">
        <w:t xml:space="preserve"> </w:t>
      </w:r>
      <w:r w:rsidR="00B24801">
        <w:t xml:space="preserve">In that same year, </w:t>
      </w:r>
      <w:r w:rsidR="00CA514C">
        <w:t>72.8% of births in Kisii County were attended by a skilled provider.</w:t>
      </w:r>
      <w:r w:rsidR="00F65725" w:rsidRPr="00682502">
        <w:rPr>
          <w:rStyle w:val="FootnoteReference"/>
        </w:rPr>
        <w:footnoteReference w:id="10"/>
      </w:r>
      <w:r w:rsidR="006E45C5">
        <w:t xml:space="preserve"> </w:t>
      </w:r>
    </w:p>
    <w:p w14:paraId="7F998AAF" w14:textId="77777777" w:rsidR="00E87B9A" w:rsidRDefault="00E87B9A" w:rsidP="007F3730"/>
    <w:p w14:paraId="3E8E0812" w14:textId="22FA83A8" w:rsidR="00105F9B" w:rsidRDefault="007F3730" w:rsidP="007F3730">
      <w:r>
        <w:rPr>
          <w:b/>
        </w:rPr>
        <w:lastRenderedPageBreak/>
        <w:t xml:space="preserve">Antenatal care. </w:t>
      </w:r>
      <w:r>
        <w:t xml:space="preserve">The Kenya </w:t>
      </w:r>
      <w:r w:rsidRPr="007F3730">
        <w:rPr>
          <w:i/>
        </w:rPr>
        <w:t xml:space="preserve">National Guidelines for Quality Obstetric and Perinatal Care </w:t>
      </w:r>
      <w:r>
        <w:t>recommends that pregnant women attend a minimum of four antenatal visits throughout their pregnancy, with the first visit occurring in the first 16 weeks of the pregnancy.</w:t>
      </w:r>
      <w:r w:rsidR="00F65725" w:rsidRPr="00682502">
        <w:rPr>
          <w:rStyle w:val="FootnoteReference"/>
        </w:rPr>
        <w:footnoteReference w:id="11"/>
      </w:r>
      <w:r>
        <w:t xml:space="preserve"> </w:t>
      </w:r>
      <w:r w:rsidR="00CD75D1">
        <w:t>According to 2020</w:t>
      </w:r>
      <w:r>
        <w:t xml:space="preserve"> Malaria indicator</w:t>
      </w:r>
      <w:r w:rsidR="00CD75D1">
        <w:t xml:space="preserve"> survey data, 93% of pregnant women received antenatal care from a skilled provider for their last birth (compared to 95% in 2015).</w:t>
      </w:r>
      <w:r w:rsidR="00F65725" w:rsidRPr="00682502">
        <w:rPr>
          <w:rStyle w:val="FootnoteReference"/>
        </w:rPr>
        <w:footnoteReference w:id="12"/>
      </w:r>
      <w:r>
        <w:t xml:space="preserve"> </w:t>
      </w:r>
      <w:r w:rsidR="00105F9B">
        <w:t>In Kenya, 58.5%</w:t>
      </w:r>
      <w:r w:rsidR="00F020F1">
        <w:t xml:space="preserve"> of women had at least four antenatal care visits during their pregnancy, and </w:t>
      </w:r>
      <w:r>
        <w:t xml:space="preserve">only </w:t>
      </w:r>
      <w:r w:rsidR="00F020F1">
        <w:t>28% of women had their first visit during the first trimester of pregnancy.</w:t>
      </w:r>
      <w:r w:rsidR="00F65725" w:rsidRPr="00682502">
        <w:rPr>
          <w:rStyle w:val="FootnoteReference"/>
        </w:rPr>
        <w:footnoteReference w:id="13"/>
      </w:r>
      <w:r w:rsidR="00F020F1">
        <w:t xml:space="preserve"> </w:t>
      </w:r>
      <w:r w:rsidR="000D6E60">
        <w:t>In Kisii county, estimates from the population surveyed for the knowledge practice and coverage survey in 2017 showed that only 45% of women had at least four antenatal care visits.</w:t>
      </w:r>
      <w:r w:rsidR="00F65725" w:rsidRPr="00682502">
        <w:rPr>
          <w:rStyle w:val="FootnoteReference"/>
        </w:rPr>
        <w:footnoteReference w:id="14"/>
      </w:r>
      <w:r w:rsidR="00CE2D2D">
        <w:t xml:space="preserve"> Furthermore, data from the Kisii County multiple indicator cluster survey collected in 2011 showed that only 35.6% of women had at least four antenatal care visits.</w:t>
      </w:r>
      <w:r w:rsidR="00F65725" w:rsidRPr="00682502">
        <w:rPr>
          <w:rStyle w:val="FootnoteReference"/>
        </w:rPr>
        <w:footnoteReference w:id="15"/>
      </w:r>
      <w:r w:rsidR="006E45C5">
        <w:t xml:space="preserve"> </w:t>
      </w:r>
    </w:p>
    <w:p w14:paraId="70C4EE94" w14:textId="77777777" w:rsidR="008E1883" w:rsidRDefault="008E1883" w:rsidP="008E1883"/>
    <w:p w14:paraId="694B9360" w14:textId="59FB2072" w:rsidR="00CD75D1" w:rsidRDefault="005E1457" w:rsidP="008E1883">
      <w:r>
        <w:t>Women with less education, living in low income households, and living in rural areas were less likely to receive antenatal care.</w:t>
      </w:r>
      <w:r w:rsidR="00F65725" w:rsidRPr="00682502">
        <w:rPr>
          <w:rStyle w:val="FootnoteReference"/>
        </w:rPr>
        <w:footnoteReference w:id="16"/>
      </w:r>
      <w:r>
        <w:t xml:space="preserve"> </w:t>
      </w:r>
      <w:r w:rsidR="00105F9B">
        <w:t>Among women with no education, 21% had zero prenatal visits, and 51.8% had at least four antenatal care visits. This is compared to only 3.5%, 2.1%, and 0.5% of women with primary, secondary, or more than secondary education, respectively, having no antenatal care visits. Additionally, 67.3% of women with more than secondary education had at least four antenatal care visits.</w:t>
      </w:r>
      <w:r w:rsidR="00F65725" w:rsidRPr="00682502">
        <w:rPr>
          <w:rStyle w:val="FootnoteReference"/>
        </w:rPr>
        <w:footnoteReference w:id="17"/>
      </w:r>
      <w:r w:rsidR="00105F9B">
        <w:t xml:space="preserve"> Similar trends are seen according to household income, with 12.1% of women in the lowest wealth quintile receiving no antenatal care, compared to only 0.2% of women in the highest wealth quintile.</w:t>
      </w:r>
      <w:r w:rsidR="00F65725" w:rsidRPr="00682502">
        <w:rPr>
          <w:rStyle w:val="FootnoteReference"/>
        </w:rPr>
        <w:footnoteReference w:id="18"/>
      </w:r>
      <w:r w:rsidR="00105F9B">
        <w:t xml:space="preserve"> Furthermore, among women living in rural areas, 6.0% did not receive any antenatal care, and 56.</w:t>
      </w:r>
      <w:r w:rsidR="008E1883">
        <w:t>6% had at least four antenatal care visits. This is compared to only 1.0% of women living in urban areas having no antenatal care visits, and 62.6% having at least four antenatal care visits.</w:t>
      </w:r>
      <w:r w:rsidR="00F65725" w:rsidRPr="00682502">
        <w:rPr>
          <w:rStyle w:val="FootnoteReference"/>
        </w:rPr>
        <w:footnoteReference w:id="19"/>
      </w:r>
      <w:r w:rsidR="006E45C5">
        <w:t xml:space="preserve"> </w:t>
      </w:r>
    </w:p>
    <w:p w14:paraId="42D8618B" w14:textId="0222E80B" w:rsidR="00122865" w:rsidRDefault="00122865" w:rsidP="008E1883"/>
    <w:p w14:paraId="102C999C" w14:textId="5A460A7E" w:rsidR="00122865" w:rsidRDefault="00D0155B" w:rsidP="008E1883">
      <w:r>
        <w:rPr>
          <w:b/>
        </w:rPr>
        <w:t xml:space="preserve">Iron and folate supplementation. </w:t>
      </w:r>
      <w:r w:rsidR="00122865">
        <w:t>During pregnancy, nutritional and micronutrient requirements increase (for more information on this, see section below on maternal nutrition). Two key micronutrients are iron and folic acid, as adequate levels of these can prevent maternal and infant anemia, a major contributor to maternal and neonatal deaths.</w:t>
      </w:r>
      <w:r w:rsidR="00F65725" w:rsidRPr="00682502">
        <w:rPr>
          <w:rStyle w:val="FootnoteReference"/>
        </w:rPr>
        <w:footnoteReference w:id="20"/>
      </w:r>
      <w:r w:rsidR="00F65725">
        <w:rPr>
          <w:vertAlign w:val="superscript"/>
        </w:rPr>
        <w:t>,</w:t>
      </w:r>
      <w:r w:rsidR="00F65725" w:rsidRPr="00682502">
        <w:rPr>
          <w:rStyle w:val="FootnoteReference"/>
        </w:rPr>
        <w:footnoteReference w:id="21"/>
      </w:r>
      <w:r w:rsidR="00122865">
        <w:t xml:space="preserve"> </w:t>
      </w:r>
      <w:r w:rsidR="00122865">
        <w:lastRenderedPageBreak/>
        <w:t>Distribution of iron and folic acid tablets to pregnant women can be an effective intervention to prevent micronutrient deficiencies and improve maternal and neonatal outcomes.</w:t>
      </w:r>
      <w:r w:rsidR="00F65725" w:rsidRPr="00682502">
        <w:rPr>
          <w:rStyle w:val="FootnoteReference"/>
        </w:rPr>
        <w:footnoteReference w:id="22"/>
      </w:r>
      <w:r w:rsidR="00122865">
        <w:t xml:space="preserve"> As such, Kenya adopted an iron and folate supplementation (IFAS) program, in which pregnant women can receive IFAS from public health facilities at no cost.</w:t>
      </w:r>
      <w:r w:rsidR="00F65725" w:rsidRPr="00682502">
        <w:rPr>
          <w:rStyle w:val="FootnoteReference"/>
        </w:rPr>
        <w:footnoteReference w:id="23"/>
      </w:r>
      <w:r w:rsidR="00122865">
        <w:t xml:space="preserve"> An analysis of one county in Kenya, Kiambu County, found that</w:t>
      </w:r>
      <w:r>
        <w:t xml:space="preserve"> only 32.7% of pregnant women were IFAS compliant.</w:t>
      </w:r>
      <w:r w:rsidR="00F65725" w:rsidRPr="00682502">
        <w:rPr>
          <w:rStyle w:val="FootnoteReference"/>
        </w:rPr>
        <w:footnoteReference w:id="24"/>
      </w:r>
      <w:r>
        <w:t xml:space="preserve"> Factors associated with higher compliance included not having children already and having more knowledge about IFAS.</w:t>
      </w:r>
      <w:r w:rsidR="00F65725" w:rsidRPr="00682502">
        <w:rPr>
          <w:rStyle w:val="FootnoteReference"/>
        </w:rPr>
        <w:footnoteReference w:id="25"/>
      </w:r>
      <w:r>
        <w:t xml:space="preserve"> </w:t>
      </w:r>
    </w:p>
    <w:p w14:paraId="328DFF92" w14:textId="30B2E50B" w:rsidR="00CA514C" w:rsidRDefault="00CA514C" w:rsidP="008E1883"/>
    <w:p w14:paraId="5A099C87" w14:textId="6BB1E5AD" w:rsidR="00C1596B" w:rsidRDefault="004B51B6" w:rsidP="008E1883">
      <w:r>
        <w:rPr>
          <w:b/>
        </w:rPr>
        <w:t>Active management of the third stage of labor (AMTSL)</w:t>
      </w:r>
      <w:r w:rsidR="00C1596B">
        <w:rPr>
          <w:b/>
        </w:rPr>
        <w:t xml:space="preserve">. </w:t>
      </w:r>
      <w:r w:rsidR="00C1596B">
        <w:t>The third stage of labor occurs after delivery of the newborn, a time during which the uterus continues to contract to deliver the placenta. This is a critical time during delivery, as women are at highest risk for postpartum hemorrhage, the leading cause of death among women during pregnancy, at this time. Active management of the third stage of labor (AMTSL) is an intervention aimed to prevent postpartum hemorrhage.</w:t>
      </w:r>
      <w:r w:rsidR="00F65725" w:rsidRPr="00682502">
        <w:rPr>
          <w:rStyle w:val="FootnoteReference"/>
        </w:rPr>
        <w:footnoteReference w:id="26"/>
      </w:r>
      <w:r w:rsidR="00C1596B">
        <w:t xml:space="preserve"> Recommendations for AMTSL include administration of a uterotonic immediately after birth (e.g. oxytocin), controlled cord traction to deliver the placenta, and massage of the uterine fundus after delivery of the placenta.</w:t>
      </w:r>
      <w:r w:rsidR="00F65725" w:rsidRPr="00682502">
        <w:rPr>
          <w:rStyle w:val="FootnoteReference"/>
        </w:rPr>
        <w:footnoteReference w:id="27"/>
      </w:r>
      <w:r>
        <w:t xml:space="preserve"> However, the World Health Organization notes that administration of a uterotonic is the most important step, with controlled cord traction having minimal benefit and sustained massage of the uterine fundus unnecessary in women who received a uterotonic.</w:t>
      </w:r>
      <w:r w:rsidR="00F65725" w:rsidRPr="00682502">
        <w:rPr>
          <w:rStyle w:val="FootnoteReference"/>
        </w:rPr>
        <w:footnoteReference w:id="28"/>
      </w:r>
      <w:r w:rsidR="00F03647">
        <w:t xml:space="preserve"> </w:t>
      </w:r>
    </w:p>
    <w:p w14:paraId="4A663125" w14:textId="4D78417E" w:rsidR="004B51B6" w:rsidRDefault="004B51B6" w:rsidP="008E1883"/>
    <w:p w14:paraId="19754B94" w14:textId="18EA8E79" w:rsidR="004B51B6" w:rsidRPr="00C1596B" w:rsidRDefault="004B51B6" w:rsidP="008E1883">
      <w:r>
        <w:t>Based on data from the 2017 knowledge practice and coverage survey in Kisii County, 48.2% of women received appropriate AMTSL.</w:t>
      </w:r>
      <w:r w:rsidR="00F65725" w:rsidRPr="00682502">
        <w:rPr>
          <w:rStyle w:val="FootnoteReference"/>
        </w:rPr>
        <w:footnoteReference w:id="29"/>
      </w:r>
      <w:r>
        <w:t xml:space="preserve"> An analysis of women at 170 health facilities in Kenya between 2009-2012 found that 94% of women</w:t>
      </w:r>
      <w:r w:rsidR="00CE2D2D">
        <w:t xml:space="preserve"> received a uterotonic, but only 79% received the uterotonic within the first minute after birth.</w:t>
      </w:r>
      <w:r w:rsidR="00F65725" w:rsidRPr="00682502">
        <w:rPr>
          <w:rStyle w:val="FootnoteReference"/>
        </w:rPr>
        <w:footnoteReference w:id="30"/>
      </w:r>
      <w:r w:rsidR="00CE2D2D">
        <w:t xml:space="preserve"> Controlled cord traction was performed in 88% of deliveries, and uterine massage was performed in 88% of deliveries.</w:t>
      </w:r>
      <w:r w:rsidR="00F65725" w:rsidRPr="00682502">
        <w:rPr>
          <w:rStyle w:val="FootnoteReference"/>
        </w:rPr>
        <w:footnoteReference w:id="31"/>
      </w:r>
      <w:r w:rsidR="00CE2D2D">
        <w:t xml:space="preserve"> There is limited data on the AMTSL on pregnant women in Kenya in general, including deliveries that occurred at home.</w:t>
      </w:r>
    </w:p>
    <w:p w14:paraId="101E4A88" w14:textId="77777777" w:rsidR="00C1596B" w:rsidRDefault="00C1596B" w:rsidP="008E1883"/>
    <w:p w14:paraId="65C976AD" w14:textId="7CDA9A42" w:rsidR="00CA514C" w:rsidRDefault="00BB476B" w:rsidP="008E1883">
      <w:r>
        <w:rPr>
          <w:b/>
        </w:rPr>
        <w:t>Barriers</w:t>
      </w:r>
      <w:r w:rsidR="00CA514C">
        <w:rPr>
          <w:b/>
        </w:rPr>
        <w:t xml:space="preserve"> to care. </w:t>
      </w:r>
      <w:r w:rsidR="00CA514C">
        <w:t xml:space="preserve">In 2014, 46.1% of reproductive aged women had challenges accessing health care. This was due to a variety of factors, including getting enough money for treatment </w:t>
      </w:r>
      <w:r w:rsidR="00CA514C">
        <w:lastRenderedPageBreak/>
        <w:t>(36.7%), distance to health facility (22.7%), not wanting to go alone (10.6%), and getting permission to go for treatment (6.0%).</w:t>
      </w:r>
      <w:r w:rsidR="00F65725" w:rsidRPr="00682502">
        <w:rPr>
          <w:rStyle w:val="FootnoteReference"/>
        </w:rPr>
        <w:footnoteReference w:id="32"/>
      </w:r>
    </w:p>
    <w:p w14:paraId="3C918547" w14:textId="35B2CF15" w:rsidR="000D6E60" w:rsidRDefault="000D6E60" w:rsidP="008E1883"/>
    <w:p w14:paraId="133ABDCE" w14:textId="3031AD85" w:rsidR="00BB476B" w:rsidRDefault="00DF37D8" w:rsidP="00DF37D8">
      <w:r>
        <w:rPr>
          <w:b/>
        </w:rPr>
        <w:t xml:space="preserve">Mistreatment during delivery. </w:t>
      </w:r>
      <w:r w:rsidR="00BB476B">
        <w:t xml:space="preserve">Disrespect, mistreatment and abuse have historically been identified as a major barrier to achieving quality care at the time of delivery in Kenya. </w:t>
      </w:r>
      <w:r w:rsidR="00D2656A">
        <w:t xml:space="preserve">Challenges with quality of care and abuse/neglect around delivery was identified in the report titled </w:t>
      </w:r>
      <w:r w:rsidR="00D2656A">
        <w:rPr>
          <w:i/>
        </w:rPr>
        <w:t>Failure to Deliver. Violations of Women’s Human Rights in Kenyan Health Facilities</w:t>
      </w:r>
      <w:r w:rsidR="00D2656A">
        <w:t>, published in 2007.</w:t>
      </w:r>
      <w:r w:rsidR="00F65725" w:rsidRPr="00682502">
        <w:rPr>
          <w:rStyle w:val="FootnoteReference"/>
        </w:rPr>
        <w:footnoteReference w:id="33"/>
      </w:r>
      <w:r w:rsidR="00D2656A">
        <w:t xml:space="preserve"> In this report, the authors explain that women have reported years of neglect and abuse when going to a health facility to give birth. These included instances of being prevented from entering a health facility due to not having sufficient money to pay the deposit, not allowing spouses or family members to accompany the pregnant women, lack of help finding the delivery ward, feelings that health providers were reluctant to provide care</w:t>
      </w:r>
      <w:r w:rsidR="00BB476B">
        <w:t>, lack of attention in times of health crisis during delivery.</w:t>
      </w:r>
      <w:r w:rsidR="00F65725" w:rsidRPr="00682502">
        <w:rPr>
          <w:rStyle w:val="FootnoteReference"/>
        </w:rPr>
        <w:footnoteReference w:id="34"/>
      </w:r>
      <w:r w:rsidR="00BB476B">
        <w:t xml:space="preserve"> Furthermore, women reported instances of physical and verbal abuse from staff members both during and after delivery.</w:t>
      </w:r>
      <w:r w:rsidR="00F65725" w:rsidRPr="00682502">
        <w:rPr>
          <w:rStyle w:val="FootnoteReference"/>
        </w:rPr>
        <w:footnoteReference w:id="35"/>
      </w:r>
      <w:r w:rsidR="00BB476B">
        <w:t xml:space="preserve"> More recent data from the 2017 knowledge practice and coverage survey in Kisii County, showed that only 19.4% of women reported that they received respectful, culturally appropriate care (including courteous care, family presence, chose birth position and attendant, privacy, and consuming traditional food). While efforts have been made to address this issue, a study conducted from 2011-2012 showed that 20% of women who delivered in Kenyan health facilities continued to report forms of disrespect and abuse including non-dignified care (18%), neglect or abandonment (14.3%), non-confidential care (8.5%), detainment for non-payment of fees (8.1%), non-consensual care (4.3%), and physical abuse (4.2%).</w:t>
      </w:r>
      <w:r w:rsidR="00F65725" w:rsidRPr="00682502">
        <w:rPr>
          <w:rStyle w:val="FootnoteReference"/>
        </w:rPr>
        <w:footnoteReference w:id="36"/>
      </w:r>
    </w:p>
    <w:p w14:paraId="6CB75CDB" w14:textId="77777777" w:rsidR="00BB476B" w:rsidRDefault="00BB476B" w:rsidP="008E1883"/>
    <w:p w14:paraId="27BF2DC0" w14:textId="73948926" w:rsidR="000D6E60" w:rsidRPr="00D2656A" w:rsidRDefault="00BB476B" w:rsidP="008E1883">
      <w:r>
        <w:t>Because of these issues of abuse, neglect, and poor quality of care during delivery in Kenya, in 2013, Kenya’s president signed a directive, which instructed all public health care facilities to offer free maternal health care services.</w:t>
      </w:r>
      <w:r w:rsidR="00F65725" w:rsidRPr="00682502">
        <w:rPr>
          <w:rStyle w:val="FootnoteReference"/>
        </w:rPr>
        <w:footnoteReference w:id="37"/>
      </w:r>
      <w:r>
        <w:t xml:space="preserve"> Following this directive, the number of health facility </w:t>
      </w:r>
      <w:r w:rsidR="006F3F13">
        <w:t>deliveries in Kenya increased by 29.5%.</w:t>
      </w:r>
      <w:r w:rsidR="00F65725" w:rsidRPr="00682502">
        <w:rPr>
          <w:rStyle w:val="FootnoteReference"/>
        </w:rPr>
        <w:footnoteReference w:id="38"/>
      </w:r>
      <w:r w:rsidR="006F3F13">
        <w:t xml:space="preserve"> A study in which focus group interviews were conducted with pregnant women in Kisii and Kilifi Counties in 2017 found that women continued to experience neglectful care, with adolescent women suffering greater harassment compared to adult women.</w:t>
      </w:r>
      <w:r w:rsidR="00F65725" w:rsidRPr="00682502">
        <w:rPr>
          <w:rStyle w:val="FootnoteReference"/>
        </w:rPr>
        <w:footnoteReference w:id="39"/>
      </w:r>
      <w:r w:rsidR="006F3F13">
        <w:t xml:space="preserve"> Additional barriers to care included the hospital being far away, </w:t>
      </w:r>
      <w:r w:rsidR="006F3F13">
        <w:lastRenderedPageBreak/>
        <w:t>limited beds/space in the health facility, low staffing.</w:t>
      </w:r>
      <w:r w:rsidR="00F65725" w:rsidRPr="00682502">
        <w:rPr>
          <w:rStyle w:val="FootnoteReference"/>
        </w:rPr>
        <w:footnoteReference w:id="40"/>
      </w:r>
      <w:r w:rsidR="0099694F">
        <w:t xml:space="preserve"> Furthermore, a study conducted in 2016 assessed providers’ perceptions of disrespect and abuse during childbirth in rural Western Kenya. This study found that although 91.9% of providers reported that the medical staff treated women with respect most or all of the time, 53% of providers reported ever observing other providers verbally abuse women, and 37% of providers reported ever observing other providers physical abuse women.</w:t>
      </w:r>
      <w:r w:rsidR="000F30D6" w:rsidRPr="00682502">
        <w:rPr>
          <w:rStyle w:val="FootnoteReference"/>
        </w:rPr>
        <w:footnoteReference w:id="41"/>
      </w:r>
      <w:r w:rsidR="0099694F">
        <w:t xml:space="preserve"> </w:t>
      </w:r>
    </w:p>
    <w:p w14:paraId="7803CEF3" w14:textId="45274833" w:rsidR="00F32524" w:rsidRDefault="00F32524" w:rsidP="008E1883"/>
    <w:p w14:paraId="24F085F5" w14:textId="77777777" w:rsidR="007F3730" w:rsidRDefault="007F3730" w:rsidP="007F3730"/>
    <w:p w14:paraId="0B5E104D" w14:textId="3CA17915" w:rsidR="00927E39" w:rsidRDefault="00CA514C" w:rsidP="00CA514C">
      <w:pPr>
        <w:rPr>
          <w:b/>
        </w:rPr>
      </w:pPr>
      <w:r>
        <w:rPr>
          <w:b/>
        </w:rPr>
        <w:t xml:space="preserve">Maternal </w:t>
      </w:r>
      <w:r w:rsidR="00EA11A6">
        <w:rPr>
          <w:b/>
        </w:rPr>
        <w:t>complications</w:t>
      </w:r>
      <w:r>
        <w:rPr>
          <w:b/>
        </w:rPr>
        <w:t>.</w:t>
      </w:r>
      <w:r w:rsidRPr="00CA514C">
        <w:rPr>
          <w:b/>
        </w:rPr>
        <w:t xml:space="preserve"> </w:t>
      </w:r>
    </w:p>
    <w:p w14:paraId="5E031FA6" w14:textId="77777777" w:rsidR="00927E39" w:rsidRDefault="00927E39" w:rsidP="00CA514C"/>
    <w:p w14:paraId="5C566A84" w14:textId="02D9340E" w:rsidR="002804D6" w:rsidRDefault="00EA11A6" w:rsidP="00EA11A6">
      <w:r>
        <w:rPr>
          <w:b/>
        </w:rPr>
        <w:t xml:space="preserve">Maternal morbidity and mortality. </w:t>
      </w:r>
      <w:r w:rsidR="001C2D90">
        <w:t xml:space="preserve">The </w:t>
      </w:r>
      <w:r w:rsidR="00721831">
        <w:t>World Bank estimate</w:t>
      </w:r>
      <w:r w:rsidR="001C2D90">
        <w:t>d</w:t>
      </w:r>
      <w:r w:rsidR="00721831">
        <w:t xml:space="preserve"> the</w:t>
      </w:r>
      <w:r w:rsidR="001C2D90">
        <w:t xml:space="preserve"> maternal mortality ratio in Kenya to be </w:t>
      </w:r>
      <w:r w:rsidR="00721831">
        <w:t>314 per 100,000 live births</w:t>
      </w:r>
      <w:r w:rsidR="001C2D90">
        <w:t xml:space="preserve"> in 2017</w:t>
      </w:r>
      <w:r w:rsidR="00721831">
        <w:t>.</w:t>
      </w:r>
      <w:r w:rsidR="000F30D6" w:rsidRPr="00682502">
        <w:rPr>
          <w:rStyle w:val="FootnoteReference"/>
        </w:rPr>
        <w:footnoteReference w:id="42"/>
      </w:r>
      <w:r w:rsidR="00721831">
        <w:t xml:space="preserve"> </w:t>
      </w:r>
      <w:r w:rsidR="001C2D90">
        <w:t>Data from the</w:t>
      </w:r>
      <w:r>
        <w:t xml:space="preserve"> Kenya DHS showed the maternal mortality r</w:t>
      </w:r>
      <w:r w:rsidR="00721831">
        <w:t>atio</w:t>
      </w:r>
      <w:r>
        <w:t xml:space="preserve"> to be at 362 deaths per 100,000 live births in 2014.</w:t>
      </w:r>
      <w:r w:rsidR="000F30D6" w:rsidRPr="00682502">
        <w:rPr>
          <w:rStyle w:val="FootnoteReference"/>
        </w:rPr>
        <w:footnoteReference w:id="43"/>
      </w:r>
      <w:r>
        <w:t xml:space="preserve"> Both of these measures are far from the 2030 Sustainable Development Goal: to reduce the global maternal mortality rat</w:t>
      </w:r>
      <w:r w:rsidR="00721831">
        <w:t>io</w:t>
      </w:r>
      <w:r>
        <w:t xml:space="preserve"> to less than 70 per 100,000 live births.</w:t>
      </w:r>
      <w:r w:rsidR="000F30D6" w:rsidRPr="00682502">
        <w:rPr>
          <w:rStyle w:val="FootnoteReference"/>
        </w:rPr>
        <w:footnoteReference w:id="44"/>
      </w:r>
      <w:r w:rsidR="00F03647">
        <w:t xml:space="preserve"> </w:t>
      </w:r>
    </w:p>
    <w:p w14:paraId="31D2DFBA" w14:textId="77777777" w:rsidR="002804D6" w:rsidRDefault="002804D6" w:rsidP="00EA11A6"/>
    <w:p w14:paraId="5714DF8A" w14:textId="651FBFBB" w:rsidR="002804D6" w:rsidRDefault="002804D6" w:rsidP="002804D6">
      <w:r>
        <w:t>Worldwide, top</w:t>
      </w:r>
      <w:r w:rsidR="00EA11A6">
        <w:t xml:space="preserve"> </w:t>
      </w:r>
      <w:r>
        <w:t>causes of</w:t>
      </w:r>
      <w:r w:rsidR="00EA11A6">
        <w:t xml:space="preserve"> maternal morbidity and mortality include </w:t>
      </w:r>
      <w:r>
        <w:t xml:space="preserve">hemorrhage (27%), </w:t>
      </w:r>
      <w:r w:rsidR="00721831">
        <w:t>hypertensive disorders (14%), infection/sepsis (11%), and unsafe abortion (8%).</w:t>
      </w:r>
    </w:p>
    <w:p w14:paraId="19C0C083" w14:textId="77777777" w:rsidR="002804D6" w:rsidRDefault="002804D6" w:rsidP="002804D6"/>
    <w:p w14:paraId="64530994" w14:textId="522EB698" w:rsidR="00EA11A6" w:rsidRDefault="00721831" w:rsidP="002804D6">
      <w:r>
        <w:t>Causes of maternal mortality in Kenya follow are similar to the global distribution of causes. A</w:t>
      </w:r>
      <w:r w:rsidR="002804D6">
        <w:t xml:space="preserve"> 2018 cross-sectional study assessed maternal mortality in the hospital setting (those who delivered/accessed abortions outside of the hospital setting were not included in this sample).</w:t>
      </w:r>
      <w:r w:rsidR="000F30D6" w:rsidRPr="00682502">
        <w:rPr>
          <w:rStyle w:val="FootnoteReference"/>
        </w:rPr>
        <w:footnoteReference w:id="45"/>
      </w:r>
      <w:r w:rsidR="002804D6">
        <w:t xml:space="preserve"> In this nationally representative sample, 57% of maternal deaths were caused by obstetric hemorrhage, 21% were caused by hypertensive disorders, 12% by pregnancy with abortive outcomes, and 5% by pregnancy-related infections.</w:t>
      </w:r>
      <w:r w:rsidR="000F30D6" w:rsidRPr="00682502">
        <w:rPr>
          <w:rStyle w:val="FootnoteReference"/>
        </w:rPr>
        <w:footnoteReference w:id="46"/>
      </w:r>
      <w:r w:rsidR="00F03647">
        <w:t xml:space="preserve"> </w:t>
      </w:r>
    </w:p>
    <w:p w14:paraId="3584C1FB" w14:textId="41127D3F" w:rsidR="002804D6" w:rsidRDefault="002804D6" w:rsidP="002804D6"/>
    <w:p w14:paraId="394CCCBF" w14:textId="0251115F" w:rsidR="0097602C" w:rsidRDefault="002804D6" w:rsidP="002804D6">
      <w:r w:rsidRPr="0097602C">
        <w:rPr>
          <w:b/>
        </w:rPr>
        <w:t xml:space="preserve">Postpartum hemorrhage. </w:t>
      </w:r>
      <w:r w:rsidRPr="0097602C">
        <w:t>As mentioned above, in a 2018 nationally representative study in Kenya, 57% of maternal deaths were caused by maternal hemorrhage.</w:t>
      </w:r>
      <w:r w:rsidR="000F30D6" w:rsidRPr="00682502">
        <w:rPr>
          <w:rStyle w:val="FootnoteReference"/>
        </w:rPr>
        <w:footnoteReference w:id="47"/>
      </w:r>
      <w:r w:rsidRPr="0097602C">
        <w:t xml:space="preserve"> Among those with postpartum hemorrhage, 93% received a uterotonic (either oxytocin or ergometrine), and only 67% of those needing blood received transfusions.</w:t>
      </w:r>
      <w:r w:rsidR="000F30D6" w:rsidRPr="00682502">
        <w:rPr>
          <w:rStyle w:val="FootnoteReference"/>
        </w:rPr>
        <w:footnoteReference w:id="48"/>
      </w:r>
      <w:r w:rsidR="00F03647">
        <w:t xml:space="preserve"> </w:t>
      </w:r>
    </w:p>
    <w:p w14:paraId="02D13D18" w14:textId="77777777" w:rsidR="0097602C" w:rsidRDefault="0097602C" w:rsidP="002804D6"/>
    <w:p w14:paraId="7D5BA32A" w14:textId="0DF160EF" w:rsidR="002804D6" w:rsidRPr="0097602C" w:rsidRDefault="0097602C" w:rsidP="002804D6">
      <w:r>
        <w:rPr>
          <w:b/>
        </w:rPr>
        <w:lastRenderedPageBreak/>
        <w:t xml:space="preserve">Hypertensive disorders. </w:t>
      </w:r>
      <w:r>
        <w:t>Hypertensive disorders of pregnancy include pre-eclampsia and eclampsia, both of which can contribute to significant maternal and fetal morbidity and mortality, with early detection and treatment being essential to preventing these poor outcomes. Estimates showed that approximately 21% of maternal deaths in Kenya were caused by hypertensive disorders.</w:t>
      </w:r>
      <w:r w:rsidR="000F30D6" w:rsidRPr="00682502">
        <w:rPr>
          <w:rStyle w:val="FootnoteReference"/>
        </w:rPr>
        <w:footnoteReference w:id="49"/>
      </w:r>
      <w:r>
        <w:t xml:space="preserve"> An analysis of pre-eclampsia and eclampsia in Kenya from 2020 showed that of the women who experience these disorders, 44% had early-onset pre-eclampsia, which is more likely to result in complications such as HELLP syndrome (hemolysis, elevated liver enzymes, and low platelets), renal dysfunction, stillbirth, neonatal death, and prolonged maternal hospitalization.</w:t>
      </w:r>
      <w:r w:rsidR="000F30D6" w:rsidRPr="00682502">
        <w:rPr>
          <w:rStyle w:val="FootnoteReference"/>
        </w:rPr>
        <w:footnoteReference w:id="50"/>
      </w:r>
      <w:r w:rsidR="00F03647" w:rsidRPr="0097602C">
        <w:t xml:space="preserve"> </w:t>
      </w:r>
    </w:p>
    <w:p w14:paraId="24AF4219" w14:textId="72878B0D" w:rsidR="002804D6" w:rsidRPr="0097602C" w:rsidRDefault="002804D6" w:rsidP="002804D6"/>
    <w:p w14:paraId="1DA3B8DB" w14:textId="0E2F4B37" w:rsidR="00EA11A6" w:rsidRPr="001C2D90" w:rsidRDefault="002804D6" w:rsidP="00D0155B">
      <w:r w:rsidRPr="0097602C">
        <w:rPr>
          <w:b/>
        </w:rPr>
        <w:t xml:space="preserve">Pregnancy-related infections. </w:t>
      </w:r>
      <w:r w:rsidRPr="0097602C">
        <w:t>Among women with severe infection or sepsis related to pregnancy, 99% received antibiotics for treatment.</w:t>
      </w:r>
      <w:r w:rsidR="00F03647" w:rsidRPr="00682502">
        <w:rPr>
          <w:rStyle w:val="FootnoteReference"/>
        </w:rPr>
        <w:footnoteReference w:id="51"/>
      </w:r>
      <w:r w:rsidR="00F03647" w:rsidRPr="001C2D90">
        <w:t xml:space="preserve"> </w:t>
      </w:r>
    </w:p>
    <w:p w14:paraId="288DD5E2" w14:textId="77777777" w:rsidR="00EA11A6" w:rsidRDefault="00EA11A6" w:rsidP="00D0155B">
      <w:pPr>
        <w:rPr>
          <w:b/>
        </w:rPr>
      </w:pPr>
    </w:p>
    <w:p w14:paraId="2FE5C74E" w14:textId="7C4CDA1D" w:rsidR="00E53E74" w:rsidRPr="0097602C" w:rsidRDefault="00E53E74" w:rsidP="00D0155B">
      <w:r>
        <w:rPr>
          <w:b/>
        </w:rPr>
        <w:t>Morbidity and mortality related to unsafe abortions.</w:t>
      </w:r>
      <w:r w:rsidR="0097602C">
        <w:rPr>
          <w:b/>
        </w:rPr>
        <w:t xml:space="preserve"> </w:t>
      </w:r>
      <w:r w:rsidR="0097602C">
        <w:t>See section on unsafe abortions below.</w:t>
      </w:r>
    </w:p>
    <w:p w14:paraId="4F49B6F8" w14:textId="77777777" w:rsidR="00E53E74" w:rsidRDefault="00E53E74" w:rsidP="00D0155B">
      <w:pPr>
        <w:rPr>
          <w:b/>
        </w:rPr>
      </w:pPr>
    </w:p>
    <w:p w14:paraId="64B8D081" w14:textId="0E4107AE" w:rsidR="00CA514C" w:rsidRDefault="00927E39" w:rsidP="00D0155B">
      <w:r>
        <w:rPr>
          <w:b/>
        </w:rPr>
        <w:t xml:space="preserve">C-sections. </w:t>
      </w:r>
      <w:r w:rsidR="00EA11A6">
        <w:t xml:space="preserve">One measure of the quality of maternal healthcare in a population is the rate of caesarean sections (C-sections). </w:t>
      </w:r>
      <w:r w:rsidR="00D0155B">
        <w:t>The World Health Organization has identified 10-15% to be the ideal rate for C-section</w:t>
      </w:r>
      <w:r w:rsidR="00EA11A6">
        <w:t>s</w:t>
      </w:r>
      <w:r w:rsidR="00D0155B">
        <w:t>.</w:t>
      </w:r>
      <w:r w:rsidR="000F30D6" w:rsidRPr="00682502">
        <w:rPr>
          <w:rStyle w:val="FootnoteReference"/>
        </w:rPr>
        <w:footnoteReference w:id="52"/>
      </w:r>
      <w:r w:rsidR="00D0155B">
        <w:t xml:space="preserve"> This is because, at the population level, as C-section rise towards 10%, maternal and neonatal mortality decreases, but as rates exceed 10%, there is no further improvement in mortality.</w:t>
      </w:r>
      <w:r w:rsidR="00C42B55" w:rsidRPr="00682502">
        <w:rPr>
          <w:rStyle w:val="FootnoteReference"/>
        </w:rPr>
        <w:footnoteReference w:id="53"/>
      </w:r>
      <w:r w:rsidR="00D0155B">
        <w:t xml:space="preserve"> As such, a rate of 10-15% suggests that within a population, there is the capacity for C-sections when medically necessary, but </w:t>
      </w:r>
      <w:r w:rsidR="00F87AD5">
        <w:t>limited</w:t>
      </w:r>
      <w:r w:rsidR="00D0155B">
        <w:t xml:space="preserve"> overuse of C-sections when not medically indicated.</w:t>
      </w:r>
      <w:r w:rsidR="00C42B55" w:rsidRPr="00682502">
        <w:rPr>
          <w:rStyle w:val="FootnoteReference"/>
        </w:rPr>
        <w:footnoteReference w:id="54"/>
      </w:r>
      <w:r w:rsidR="00D0155B">
        <w:t xml:space="preserve"> In</w:t>
      </w:r>
      <w:r w:rsidR="00CA514C">
        <w:t xml:space="preserve"> 2014 in Kenya, 8.7% of births occurred via </w:t>
      </w:r>
      <w:r w:rsidR="00D0155B">
        <w:t>C</w:t>
      </w:r>
      <w:r w:rsidR="00CA514C">
        <w:t>-section</w:t>
      </w:r>
      <w:r w:rsidR="00F87AD5">
        <w:t>, and t</w:t>
      </w:r>
      <w:r w:rsidR="00CA514C">
        <w:t>he prevalence of C-sections in Kisii County in 2014 was 5.3%.</w:t>
      </w:r>
      <w:r w:rsidR="00C42B55" w:rsidRPr="00682502">
        <w:rPr>
          <w:rStyle w:val="FootnoteReference"/>
        </w:rPr>
        <w:footnoteReference w:id="55"/>
      </w:r>
    </w:p>
    <w:p w14:paraId="5DF520B0" w14:textId="1FF3E505" w:rsidR="00CA514C" w:rsidRDefault="00CA514C" w:rsidP="00CA514C"/>
    <w:p w14:paraId="6AA5A590" w14:textId="50F82B06" w:rsidR="00CA514C" w:rsidRPr="00CA514C" w:rsidRDefault="00927E39" w:rsidP="00D0155B">
      <w:r>
        <w:rPr>
          <w:b/>
        </w:rPr>
        <w:t xml:space="preserve">Obstetric fistulas. </w:t>
      </w:r>
      <w:r w:rsidR="00CA514C">
        <w:t xml:space="preserve">Obstetric fistulas can occur following prolonged or difficult labor, and result in formation of an opening between the vagina, bladder, and/or rectum. This can result in leakage of urine or feces, infections, </w:t>
      </w:r>
      <w:r>
        <w:t xml:space="preserve">kidney disease, and infertility, </w:t>
      </w:r>
      <w:r w:rsidR="00CA514C">
        <w:t xml:space="preserve">as well as social effects </w:t>
      </w:r>
      <w:r>
        <w:t>such as isolation, deepening poverty, and depression.</w:t>
      </w:r>
      <w:r w:rsidR="00C42B55" w:rsidRPr="00682502">
        <w:rPr>
          <w:rStyle w:val="FootnoteReference"/>
        </w:rPr>
        <w:footnoteReference w:id="56"/>
      </w:r>
      <w:r>
        <w:t xml:space="preserve"> Importantly, obstetric fistulas can be prevented by ensuring the presence of skilled birthing attendants at all births, providing family planning for those who would like it, addressing malnutrition to prevent stunting in women, and preventing adolescent pregnancies.</w:t>
      </w:r>
      <w:r w:rsidR="00C42B55" w:rsidRPr="00682502">
        <w:rPr>
          <w:rStyle w:val="FootnoteReference"/>
        </w:rPr>
        <w:footnoteReference w:id="57"/>
      </w:r>
      <w:r>
        <w:t xml:space="preserve"> In 2014, 54.0% of women in Kenya had heard of obstetric fistulas, and only 1.0% reported ever having a fistula.</w:t>
      </w:r>
      <w:r w:rsidR="00C42B55" w:rsidRPr="00682502">
        <w:rPr>
          <w:rStyle w:val="FootnoteReference"/>
        </w:rPr>
        <w:footnoteReference w:id="58"/>
      </w:r>
      <w:r w:rsidR="00F03647" w:rsidRPr="00CA514C">
        <w:t xml:space="preserve"> </w:t>
      </w:r>
    </w:p>
    <w:p w14:paraId="06519F57" w14:textId="77777777" w:rsidR="00CA514C" w:rsidRDefault="00CA514C" w:rsidP="00CA514C"/>
    <w:p w14:paraId="290E34A8" w14:textId="6ECE82D9" w:rsidR="00793050" w:rsidRDefault="00E53A94" w:rsidP="00E53A94">
      <w:r>
        <w:rPr>
          <w:b/>
        </w:rPr>
        <w:t xml:space="preserve">Neonatal and Perinatal Mortality. </w:t>
      </w:r>
      <w:r>
        <w:t>Neonatal mortality is a measure of deaths from 0-27 day.</w:t>
      </w:r>
      <w:r w:rsidR="00C42B55" w:rsidRPr="00682502">
        <w:rPr>
          <w:rStyle w:val="FootnoteReference"/>
        </w:rPr>
        <w:footnoteReference w:id="59"/>
      </w:r>
      <w:r w:rsidR="00F03647">
        <w:t xml:space="preserve">  </w:t>
      </w:r>
      <w:r>
        <w:t>In contrast, the p</w:t>
      </w:r>
      <w:r w:rsidRPr="001A5B90">
        <w:t>erinatal mortality rate</w:t>
      </w:r>
      <w:r>
        <w:t xml:space="preserve"> is a measure of the combined</w:t>
      </w:r>
      <w:r w:rsidRPr="001A5B90">
        <w:t xml:space="preserve"> number of </w:t>
      </w:r>
      <w:r>
        <w:t xml:space="preserve">early neonatal </w:t>
      </w:r>
      <w:r w:rsidRPr="001A5B90">
        <w:t xml:space="preserve">deaths </w:t>
      </w:r>
      <w:r>
        <w:t xml:space="preserve">(in the first 7 days of life) and stillbirths (fetal deaths) </w:t>
      </w:r>
      <w:r w:rsidRPr="001A5B90">
        <w:t>starting at week 28 of gestation.</w:t>
      </w:r>
      <w:r w:rsidR="00C42B55" w:rsidRPr="00682502">
        <w:rPr>
          <w:rStyle w:val="FootnoteReference"/>
        </w:rPr>
        <w:footnoteReference w:id="60"/>
      </w:r>
      <w:r>
        <w:t xml:space="preserve"> Perinatal mortality rate is often seen as an indicator of the quality of maternal and newborn care.</w:t>
      </w:r>
      <w:r w:rsidR="00C42B55" w:rsidRPr="00682502">
        <w:rPr>
          <w:rStyle w:val="FootnoteReference"/>
        </w:rPr>
        <w:footnoteReference w:id="61"/>
      </w:r>
      <w:r>
        <w:t xml:space="preserve"> </w:t>
      </w:r>
      <w:r w:rsidRPr="001A5B90">
        <w:t>According to the 2014 Kenya DHS, between 2010-2014, Kenya’s perinatal mortality rate was 29 per 1,000 pregnancies of 7 months or more duration</w:t>
      </w:r>
      <w:r w:rsidR="00793050">
        <w:t xml:space="preserve"> and </w:t>
      </w:r>
      <w:r w:rsidRPr="001A5B90">
        <w:t>the neonatal mortality rate was 22 per 1,000 live births</w:t>
      </w:r>
      <w:r w:rsidR="00793050">
        <w:t>.</w:t>
      </w:r>
      <w:r w:rsidR="00C42B55" w:rsidRPr="00682502">
        <w:rPr>
          <w:rStyle w:val="FootnoteReference"/>
        </w:rPr>
        <w:footnoteReference w:id="62"/>
      </w:r>
      <w:r w:rsidRPr="001A5B90">
        <w:t xml:space="preserve"> </w:t>
      </w:r>
      <w:r w:rsidR="00793050">
        <w:t xml:space="preserve">Postneonatal, infant, and child mortality rates can be found in the under-five child health section. </w:t>
      </w:r>
      <w:r w:rsidR="00F32524">
        <w:t xml:space="preserve">Neonatal mortality has been improving: from </w:t>
      </w:r>
      <w:r w:rsidR="00F32524" w:rsidRPr="001A5B90">
        <w:t>1999-2003 to 2010-2014, the</w:t>
      </w:r>
      <w:r w:rsidR="00F32524">
        <w:t xml:space="preserve"> neonatal mortality rate improved from 33 to 22 </w:t>
      </w:r>
      <w:r w:rsidR="00816C4F">
        <w:t>per 1,000 live births.</w:t>
      </w:r>
      <w:r w:rsidR="00C42B55" w:rsidRPr="00682502">
        <w:rPr>
          <w:rStyle w:val="FootnoteReference"/>
        </w:rPr>
        <w:footnoteReference w:id="63"/>
      </w:r>
      <w:r w:rsidR="00816C4F">
        <w:t xml:space="preserve"> However, this lags behind the improvement in overall under-five child mortality, which improved from 115 to 52 per 1,000 live births over the same time frame</w:t>
      </w:r>
      <w:r w:rsidR="00C42B55">
        <w:t>.</w:t>
      </w:r>
      <w:r w:rsidR="00C42B55" w:rsidRPr="00682502">
        <w:rPr>
          <w:rStyle w:val="FootnoteReference"/>
        </w:rPr>
        <w:footnoteReference w:id="64"/>
      </w:r>
      <w:r w:rsidR="00C1596B">
        <w:t xml:space="preserve"> </w:t>
      </w:r>
      <w:r w:rsidR="00C1596B" w:rsidRPr="001A5B90">
        <w:t>As of 2019 in Kenya, the stillbirth rate was 19.75 per 1,000 total births.</w:t>
      </w:r>
      <w:r w:rsidR="00C42B55" w:rsidRPr="00682502">
        <w:rPr>
          <w:rStyle w:val="FootnoteReference"/>
        </w:rPr>
        <w:footnoteReference w:id="65"/>
      </w:r>
      <w:r w:rsidR="00F03647">
        <w:t xml:space="preserve"> </w:t>
      </w:r>
    </w:p>
    <w:p w14:paraId="4C02134B" w14:textId="3914A9AC" w:rsidR="009D3FFB" w:rsidRDefault="009D3FFB" w:rsidP="009D3FFB"/>
    <w:p w14:paraId="68BDFE47" w14:textId="0039B0D2" w:rsidR="00E53E74" w:rsidRPr="00E53E74" w:rsidRDefault="00E53E74" w:rsidP="009D3FFB">
      <w:pPr>
        <w:rPr>
          <w:b/>
        </w:rPr>
      </w:pPr>
      <w:r>
        <w:rPr>
          <w:b/>
        </w:rPr>
        <w:t>Causes of neonatal and perinatal mortality.</w:t>
      </w:r>
    </w:p>
    <w:p w14:paraId="77072051" w14:textId="77777777" w:rsidR="00E53E74" w:rsidRDefault="00E53E74" w:rsidP="009D3FFB"/>
    <w:p w14:paraId="3B61D6E9" w14:textId="3672D7AD" w:rsidR="009D3FFB" w:rsidRPr="001A5B90" w:rsidRDefault="00A86BF4" w:rsidP="008C4393">
      <w:r>
        <w:rPr>
          <w:b/>
        </w:rPr>
        <w:t xml:space="preserve">Newborn </w:t>
      </w:r>
      <w:r w:rsidR="00C1596B">
        <w:rPr>
          <w:b/>
        </w:rPr>
        <w:t xml:space="preserve">care. </w:t>
      </w:r>
      <w:r w:rsidR="00C1596B">
        <w:t>According to data from the Kisii County knowledge practice and coverage survey collected in 2017, 21.9% of newborns received clean cord care and 85.1% of newborns received immediate thermal care (drying and wrapping).</w:t>
      </w:r>
      <w:r w:rsidR="00C42B55" w:rsidRPr="00682502">
        <w:rPr>
          <w:rStyle w:val="FootnoteReference"/>
        </w:rPr>
        <w:footnoteReference w:id="66"/>
      </w:r>
      <w:r w:rsidR="00BF23C2">
        <w:t xml:space="preserve"> DHS data from 2014 showed the 62% of children in Kenya were breastfed within the first hour of birth.</w:t>
      </w:r>
      <w:r w:rsidR="00C42B55" w:rsidRPr="00682502">
        <w:rPr>
          <w:rStyle w:val="FootnoteReference"/>
        </w:rPr>
        <w:footnoteReference w:id="67"/>
      </w:r>
      <w:r w:rsidR="00F03647" w:rsidRPr="00C1596B">
        <w:t xml:space="preserve"> </w:t>
      </w:r>
    </w:p>
    <w:p w14:paraId="3B7E7C5A" w14:textId="03A2C69B" w:rsidR="000A061E" w:rsidRDefault="000A061E" w:rsidP="000A061E"/>
    <w:p w14:paraId="08C0567D" w14:textId="77777777" w:rsidR="008C4393" w:rsidRDefault="000A061E" w:rsidP="000A061E">
      <w:pPr>
        <w:rPr>
          <w:b/>
        </w:rPr>
      </w:pPr>
      <w:r>
        <w:rPr>
          <w:b/>
        </w:rPr>
        <w:t xml:space="preserve">Family planning. </w:t>
      </w:r>
    </w:p>
    <w:p w14:paraId="266CC94A" w14:textId="77777777" w:rsidR="008C4393" w:rsidRDefault="008C4393" w:rsidP="000A061E"/>
    <w:p w14:paraId="22713EE9" w14:textId="55C29F79" w:rsidR="00B84EB3" w:rsidRDefault="00D7292E" w:rsidP="000A061E">
      <w:r>
        <w:t>According to 2014 Kenya DHS data, 98.4% of women and 99.3% of men are knowledgeable about at least one form of modern contraceptive, with 94.2% of women knowing about the pill, 77.3% knowing about IUDs,  95.3% knowing about implants, and 96.4% knowing about male condoms.</w:t>
      </w:r>
      <w:r w:rsidR="00C42B55" w:rsidRPr="00682502">
        <w:rPr>
          <w:rStyle w:val="FootnoteReference"/>
        </w:rPr>
        <w:footnoteReference w:id="68"/>
      </w:r>
      <w:r>
        <w:t xml:space="preserve"> Among married women, 53.2% used a modern method of contraception, and among sexually active unmarried women, 60.9% used a modern method of contraception.</w:t>
      </w:r>
      <w:r w:rsidR="00C42B55" w:rsidRPr="00682502">
        <w:rPr>
          <w:rStyle w:val="FootnoteReference"/>
        </w:rPr>
        <w:footnoteReference w:id="69"/>
      </w:r>
      <w:r>
        <w:t xml:space="preserve"> This is an improvement from 2008-2009, when only 39.9% of married women used any form of modern contraception.</w:t>
      </w:r>
      <w:r w:rsidR="00C42B55" w:rsidRPr="00682502">
        <w:rPr>
          <w:rStyle w:val="FootnoteReference"/>
        </w:rPr>
        <w:footnoteReference w:id="70"/>
      </w:r>
      <w:r>
        <w:t xml:space="preserve"> Injectables (22.3%) and condoms (21.4%) were most frequently used </w:t>
      </w:r>
      <w:r>
        <w:lastRenderedPageBreak/>
        <w:t>by sexually active unmarried women, followed by implants (6.8%), the pill (6.6%), female sterilization (1.9%), and an IUD (1.1%).</w:t>
      </w:r>
      <w:r w:rsidR="00C42B55" w:rsidRPr="00682502">
        <w:rPr>
          <w:rStyle w:val="FootnoteReference"/>
        </w:rPr>
        <w:footnoteReference w:id="71"/>
      </w:r>
      <w:r>
        <w:t xml:space="preserve"> Women living in rural areas, women with less education, and women in low income households had lower rates of contraceptive use.</w:t>
      </w:r>
      <w:r w:rsidR="00C42B55" w:rsidRPr="00682502">
        <w:rPr>
          <w:rStyle w:val="FootnoteReference"/>
        </w:rPr>
        <w:footnoteReference w:id="72"/>
      </w:r>
      <w:r>
        <w:t xml:space="preserve"> In Kisii County in 2014, 62.8% of women used some form of modern contraceptive method.</w:t>
      </w:r>
      <w:r w:rsidR="00C42B55" w:rsidRPr="00682502">
        <w:rPr>
          <w:rStyle w:val="FootnoteReference"/>
        </w:rPr>
        <w:footnoteReference w:id="73"/>
      </w:r>
      <w:r w:rsidR="00F03647">
        <w:t xml:space="preserve"> </w:t>
      </w:r>
    </w:p>
    <w:p w14:paraId="411AEB9E" w14:textId="40CDEFFA" w:rsidR="003E25FE" w:rsidRDefault="003E25FE" w:rsidP="000A061E"/>
    <w:p w14:paraId="4413C984" w14:textId="1D0B4B58" w:rsidR="00B84EB3" w:rsidRDefault="003E25FE" w:rsidP="00B84EB3">
      <w:r>
        <w:rPr>
          <w:b/>
        </w:rPr>
        <w:t xml:space="preserve">Access/barriers to contraception. </w:t>
      </w:r>
      <w:r>
        <w:t>The total unmet need for family planning was at 17.5% in 2014 in Kenya.</w:t>
      </w:r>
      <w:r w:rsidR="00C42B55" w:rsidRPr="00682502">
        <w:rPr>
          <w:rStyle w:val="FootnoteReference"/>
        </w:rPr>
        <w:footnoteReference w:id="74"/>
      </w:r>
      <w:r>
        <w:t xml:space="preserve"> Those in rural areas (20.2%), those with no education (27.7%) and those in the lowest wealth quintile (28.6%) had the highest rates of unmet need for family planning.</w:t>
      </w:r>
      <w:r w:rsidR="00C42B55" w:rsidRPr="00682502">
        <w:rPr>
          <w:rStyle w:val="FootnoteReference"/>
        </w:rPr>
        <w:footnoteReference w:id="75"/>
      </w:r>
      <w:r>
        <w:t xml:space="preserve"> </w:t>
      </w:r>
      <w:r w:rsidR="00B84EB3">
        <w:t>Updated data from 2017 estimated that 72.8% of women in Kenya had their need for family planning met with modern contraceptive methods.</w:t>
      </w:r>
      <w:r w:rsidR="00C42B55" w:rsidRPr="00682502">
        <w:rPr>
          <w:rStyle w:val="FootnoteReference"/>
        </w:rPr>
        <w:footnoteReference w:id="76"/>
      </w:r>
      <w:r w:rsidR="00F03647">
        <w:t xml:space="preserve"> </w:t>
      </w:r>
    </w:p>
    <w:p w14:paraId="7797648C" w14:textId="77777777" w:rsidR="00B84EB3" w:rsidRDefault="00B84EB3" w:rsidP="000A061E"/>
    <w:p w14:paraId="2E045B59" w14:textId="2ADB4BCB" w:rsidR="003E25FE" w:rsidRPr="003E25FE" w:rsidRDefault="003E25FE" w:rsidP="000A061E">
      <w:r>
        <w:t>Among those with no plans to use contraception in the future, common reasons include respondent opposed (8.6%), husband/partner opposed (4.7%), religious prohibition (9.3%), health concerns (12.4%),</w:t>
      </w:r>
      <w:r w:rsidR="00B84EB3">
        <w:t xml:space="preserve"> and</w:t>
      </w:r>
      <w:r>
        <w:t xml:space="preserve"> fear of side effects (17.1%)</w:t>
      </w:r>
      <w:r w:rsidR="00B84EB3">
        <w:t>.</w:t>
      </w:r>
      <w:r w:rsidR="00C42B55" w:rsidRPr="00682502">
        <w:rPr>
          <w:rStyle w:val="FootnoteReference"/>
        </w:rPr>
        <w:footnoteReference w:id="77"/>
      </w:r>
      <w:r w:rsidR="00B84EB3">
        <w:t xml:space="preserve"> Notably, while 12.8% of men believe the choice to use contraception is a woman’s business, 29.3% of men believe women may become promiscuous if using contraceptives.</w:t>
      </w:r>
      <w:r w:rsidR="00C42B55" w:rsidRPr="00682502">
        <w:rPr>
          <w:rStyle w:val="FootnoteReference"/>
        </w:rPr>
        <w:footnoteReference w:id="78"/>
      </w:r>
      <w:r w:rsidR="00F03647" w:rsidRPr="003E25FE">
        <w:t xml:space="preserve"> </w:t>
      </w:r>
    </w:p>
    <w:p w14:paraId="11DEA8DA" w14:textId="77777777" w:rsidR="003E25FE" w:rsidRDefault="003E25FE" w:rsidP="000A061E">
      <w:pPr>
        <w:rPr>
          <w:b/>
        </w:rPr>
      </w:pPr>
    </w:p>
    <w:p w14:paraId="377C3305" w14:textId="7ACA8359" w:rsidR="003E25FE" w:rsidRDefault="003E25FE" w:rsidP="000A061E">
      <w:r>
        <w:rPr>
          <w:b/>
        </w:rPr>
        <w:t xml:space="preserve">Source of contraceptives. </w:t>
      </w:r>
      <w:r>
        <w:t>As of 2014 in Kenya, 60% of those using contraceptives obtained them from public health centers and hospitals. However, 57% of women who use the pill get it from the private sector.</w:t>
      </w:r>
      <w:r w:rsidR="00C42B55" w:rsidRPr="00682502">
        <w:rPr>
          <w:rStyle w:val="FootnoteReference"/>
        </w:rPr>
        <w:footnoteReference w:id="79"/>
      </w:r>
      <w:r w:rsidR="00F03647">
        <w:t xml:space="preserve"> </w:t>
      </w:r>
    </w:p>
    <w:p w14:paraId="74346CB9" w14:textId="1A3BF45D" w:rsidR="003E25FE" w:rsidRDefault="003E25FE" w:rsidP="000A061E"/>
    <w:p w14:paraId="33FC789D" w14:textId="092B7D9A" w:rsidR="00D7292E" w:rsidRDefault="003E25FE" w:rsidP="000A061E">
      <w:r>
        <w:rPr>
          <w:b/>
        </w:rPr>
        <w:t xml:space="preserve">Discontinuation. </w:t>
      </w:r>
      <w:r>
        <w:t>Most common reasons for discontinuing contraceptive use were: intention to become pregnant (25.6%), concern about side effects (29.0%), becoming pregnant while using (10.8%), and infrequent sex (8.9%). Less common reasons included inconvenient to use (1.9%), husband/partner disapproved (1.3%), and lack of access (0.8%).</w:t>
      </w:r>
      <w:r w:rsidR="00C42B55" w:rsidRPr="00682502">
        <w:rPr>
          <w:rStyle w:val="FootnoteReference"/>
        </w:rPr>
        <w:footnoteReference w:id="80"/>
      </w:r>
    </w:p>
    <w:p w14:paraId="33F5F9E7" w14:textId="7E80DC45" w:rsidR="00F7514A" w:rsidRDefault="00F7514A" w:rsidP="000A061E"/>
    <w:p w14:paraId="308F3C9A" w14:textId="354F6203" w:rsidR="00F7514A" w:rsidRPr="00F7514A" w:rsidRDefault="00F7514A" w:rsidP="000A061E">
      <w:r>
        <w:rPr>
          <w:b/>
        </w:rPr>
        <w:t>Adolescent pregnancy</w:t>
      </w:r>
      <w:r w:rsidR="0097602C">
        <w:rPr>
          <w:b/>
        </w:rPr>
        <w:t xml:space="preserve">. </w:t>
      </w:r>
      <w:r>
        <w:t>As of 2017 in Kenya, the rate of births among women aged 10-19 years was 34.2 live births per 1,000 women.</w:t>
      </w:r>
      <w:r w:rsidR="00C42B55" w:rsidRPr="00682502">
        <w:rPr>
          <w:rStyle w:val="FootnoteReference"/>
        </w:rPr>
        <w:footnoteReference w:id="81"/>
      </w:r>
      <w:r w:rsidR="00F03647" w:rsidRPr="00F7514A">
        <w:t xml:space="preserve"> </w:t>
      </w:r>
    </w:p>
    <w:p w14:paraId="15693BA8" w14:textId="1E14F165" w:rsidR="000A061E" w:rsidRDefault="000A061E" w:rsidP="000A061E"/>
    <w:p w14:paraId="247D6FE8" w14:textId="688AE711" w:rsidR="00E53E74" w:rsidRPr="00E53E74" w:rsidRDefault="00E53E74" w:rsidP="000A061E">
      <w:r>
        <w:rPr>
          <w:b/>
        </w:rPr>
        <w:t xml:space="preserve">Abortion services and associated morbidity and mortality. </w:t>
      </w:r>
      <w:r>
        <w:t>According to Article 26(4)</w:t>
      </w:r>
      <w:r w:rsidR="0016268E">
        <w:t>, which was added to t</w:t>
      </w:r>
      <w:r>
        <w:t>he Kenya Constitution</w:t>
      </w:r>
      <w:r w:rsidR="0016268E">
        <w:t xml:space="preserve"> in 2010</w:t>
      </w:r>
      <w:r>
        <w:t xml:space="preserve">, “abortion is not permitted unless, in the opinion of a trained health professional, there is a need for emergency treatment, or the life or health </w:t>
      </w:r>
      <w:r>
        <w:lastRenderedPageBreak/>
        <w:t>of the mother is in danger.”</w:t>
      </w:r>
      <w:r w:rsidR="00C42B55" w:rsidRPr="00682502">
        <w:rPr>
          <w:rStyle w:val="FootnoteReference"/>
        </w:rPr>
        <w:footnoteReference w:id="82"/>
      </w:r>
      <w:r>
        <w:t xml:space="preserve"> In the years before 2010, an estimated 2,600 women died every year from unsafe abortions. </w:t>
      </w:r>
      <w:r w:rsidR="0016268E">
        <w:t>This contributed to 25% of maternal deaths in Kenya in the early 2000s.</w:t>
      </w:r>
      <w:r w:rsidR="00C42B55" w:rsidRPr="00682502">
        <w:rPr>
          <w:rStyle w:val="FootnoteReference"/>
        </w:rPr>
        <w:footnoteReference w:id="83"/>
      </w:r>
      <w:r w:rsidR="0016268E">
        <w:t xml:space="preserve"> After the implementation of Article 26(4) access to safe abortions continued to be a major problem, due to lack of information on abortion, stigma, and harassment and arrests related to accessing abortion care.</w:t>
      </w:r>
      <w:r w:rsidR="00C42B55" w:rsidRPr="00682502">
        <w:rPr>
          <w:rStyle w:val="FootnoteReference"/>
        </w:rPr>
        <w:footnoteReference w:id="84"/>
      </w:r>
      <w:r w:rsidR="0016268E">
        <w:t xml:space="preserve"> Data from 2012 showed a rate of induced abortions of 48 per 1000 women of reproductive age, representing over 460,000 abortions in just one year.</w:t>
      </w:r>
      <w:r w:rsidR="00C42B55" w:rsidRPr="00682502">
        <w:rPr>
          <w:rStyle w:val="FootnoteReference"/>
        </w:rPr>
        <w:footnoteReference w:id="85"/>
      </w:r>
      <w:r w:rsidR="0016268E">
        <w:t xml:space="preserve"> Of the women</w:t>
      </w:r>
      <w:r w:rsidR="00FC17EF">
        <w:t xml:space="preserve"> who had induced or spontaneous abortions</w:t>
      </w:r>
      <w:r w:rsidR="0016268E">
        <w:t>, 119,912 experienced complications related to the abortions</w:t>
      </w:r>
      <w:r w:rsidR="00FC17EF">
        <w:t>, with 37% having severe complications such as fever, sepsis, shock, or organ failure.</w:t>
      </w:r>
      <w:r w:rsidR="00C42B55" w:rsidRPr="00682502">
        <w:rPr>
          <w:rStyle w:val="FootnoteReference"/>
        </w:rPr>
        <w:footnoteReference w:id="86"/>
      </w:r>
      <w:r w:rsidR="00F03647" w:rsidRPr="00E53E74">
        <w:t xml:space="preserve"> </w:t>
      </w:r>
    </w:p>
    <w:p w14:paraId="31991EEE" w14:textId="3C475CA2" w:rsidR="00DA0041" w:rsidRPr="001A5B90" w:rsidRDefault="00DA0041" w:rsidP="00DA0041"/>
    <w:p w14:paraId="18B98606" w14:textId="6A80037F" w:rsidR="00DA0041" w:rsidRDefault="00DA0041" w:rsidP="00DA0041">
      <w:pPr>
        <w:rPr>
          <w:b/>
          <w:u w:val="single"/>
        </w:rPr>
      </w:pPr>
      <w:r w:rsidRPr="001A5B90">
        <w:rPr>
          <w:b/>
          <w:u w:val="single"/>
        </w:rPr>
        <w:t>Health focus #2: Under-five Child Health</w:t>
      </w:r>
      <w:r w:rsidR="00270B83" w:rsidRPr="001A5B90">
        <w:rPr>
          <w:b/>
          <w:u w:val="single"/>
        </w:rPr>
        <w:t xml:space="preserve"> </w:t>
      </w:r>
    </w:p>
    <w:p w14:paraId="4C131C0B" w14:textId="77777777" w:rsidR="00682502" w:rsidRPr="001A5B90" w:rsidRDefault="00682502" w:rsidP="00DA0041">
      <w:pPr>
        <w:rPr>
          <w:u w:val="single"/>
        </w:rPr>
      </w:pPr>
    </w:p>
    <w:p w14:paraId="1F6739A4" w14:textId="6F8948DD" w:rsidR="002D1DBA" w:rsidRPr="001A5B90" w:rsidRDefault="002D1DBA" w:rsidP="00DA0041">
      <w:r w:rsidRPr="001A5B90">
        <w:t>Overall under</w:t>
      </w:r>
      <w:r w:rsidR="00F72FE1" w:rsidRPr="001A5B90">
        <w:t>-</w:t>
      </w:r>
      <w:r w:rsidRPr="001A5B90">
        <w:t xml:space="preserve">five childhood mortality </w:t>
      </w:r>
      <w:r w:rsidR="002F1A5F" w:rsidRPr="001A5B90">
        <w:t xml:space="preserve">in Kenya </w:t>
      </w:r>
      <w:r w:rsidRPr="001A5B90">
        <w:t>has been decreasing</w:t>
      </w:r>
      <w:r w:rsidR="002F1A5F" w:rsidRPr="001A5B90">
        <w:t xml:space="preserve"> over the past few decades.</w:t>
      </w:r>
      <w:r w:rsidRPr="001A5B90">
        <w:t xml:space="preserve"> In 2003, Kenya DHS survey data showed a rate of 115 deaths of children &lt;5 per 1,000 live births. In 2008-2009 that number decreased to 74 deaths per 1,000 live births, and in 2014, it was at 52 deaths per live births.</w:t>
      </w:r>
      <w:r w:rsidR="00C42B55" w:rsidRPr="00682502">
        <w:rPr>
          <w:rStyle w:val="FootnoteReference"/>
        </w:rPr>
        <w:footnoteReference w:id="87"/>
      </w:r>
      <w:r w:rsidRPr="001A5B90">
        <w:t xml:space="preserve"> Estimates from 2019 show the child mortality rate at 41.9 in 2020.</w:t>
      </w:r>
      <w:r w:rsidR="00C42B55" w:rsidRPr="00682502">
        <w:rPr>
          <w:rStyle w:val="FootnoteReference"/>
        </w:rPr>
        <w:footnoteReference w:id="88"/>
      </w:r>
      <w:r w:rsidRPr="001A5B90">
        <w:t xml:space="preserve"> This is compared to an average rate of 11 per 1,000 live births in upper middle</w:t>
      </w:r>
      <w:r w:rsidR="008C4393">
        <w:t>-</w:t>
      </w:r>
      <w:r w:rsidRPr="001A5B90">
        <w:t>income countries, 34 per 1,000 in middle income countries, and 40 per 1,000 in low</w:t>
      </w:r>
      <w:r w:rsidR="002F1A5F" w:rsidRPr="001A5B90">
        <w:t xml:space="preserve"> and </w:t>
      </w:r>
      <w:r w:rsidRPr="001A5B90">
        <w:t>middle income countries.</w:t>
      </w:r>
      <w:r w:rsidR="00C42B55" w:rsidRPr="00682502">
        <w:rPr>
          <w:rStyle w:val="FootnoteReference"/>
        </w:rPr>
        <w:footnoteReference w:id="89"/>
      </w:r>
      <w:r w:rsidR="002F1A5F" w:rsidRPr="001A5B90">
        <w:t xml:space="preserve"> </w:t>
      </w:r>
    </w:p>
    <w:p w14:paraId="0847E17E" w14:textId="77777777" w:rsidR="00682502" w:rsidRDefault="00682502" w:rsidP="00DA0041"/>
    <w:p w14:paraId="0A61EF2A" w14:textId="1AA00761" w:rsidR="00471970" w:rsidRPr="001A5B90" w:rsidRDefault="00F72FE1" w:rsidP="00DA0041">
      <w:r w:rsidRPr="001A5B90">
        <w:t xml:space="preserve">The under-five mortality rate can be subdivided into the following categories: neonatal mortality rate (0-27 days), postneonatal mortality rate (28-364 days), infant mortality rate (under 12 months), and </w:t>
      </w:r>
      <w:r w:rsidR="009246FC" w:rsidRPr="001A5B90">
        <w:t>the child mortality rate (</w:t>
      </w:r>
      <w:r w:rsidRPr="001A5B90">
        <w:t>1-5 years</w:t>
      </w:r>
      <w:r w:rsidR="009246FC" w:rsidRPr="001A5B90">
        <w:t>)</w:t>
      </w:r>
      <w:r w:rsidRPr="001A5B90">
        <w:t>.</w:t>
      </w:r>
      <w:r w:rsidR="00C42B55" w:rsidRPr="00682502">
        <w:rPr>
          <w:rStyle w:val="FootnoteReference"/>
        </w:rPr>
        <w:footnoteReference w:id="90"/>
      </w:r>
      <w:r w:rsidRPr="001A5B90">
        <w:t xml:space="preserve"> </w:t>
      </w:r>
      <w:r w:rsidR="00471970" w:rsidRPr="001A5B90">
        <w:t xml:space="preserve">Based on 2014 </w:t>
      </w:r>
      <w:r w:rsidR="00BF791D" w:rsidRPr="001A5B90">
        <w:t xml:space="preserve">Kenya </w:t>
      </w:r>
      <w:r w:rsidR="00471970" w:rsidRPr="001A5B90">
        <w:t>DHS data, 48% of under-five deaths occur in the neonatal period, 3</w:t>
      </w:r>
      <w:r w:rsidR="00BF791D" w:rsidRPr="001A5B90">
        <w:t>6% occur in the postneonatal period, and 16% occur during childhood</w:t>
      </w:r>
      <w:r w:rsidR="00B5558F">
        <w:t xml:space="preserve"> (Figure 1)</w:t>
      </w:r>
      <w:r w:rsidR="00BF791D" w:rsidRPr="001A5B90">
        <w:t>.</w:t>
      </w:r>
      <w:r w:rsidR="00C42B55" w:rsidRPr="00682502">
        <w:rPr>
          <w:rStyle w:val="FootnoteReference"/>
        </w:rPr>
        <w:footnoteReference w:id="91"/>
      </w:r>
      <w:r w:rsidR="00BF791D" w:rsidRPr="001A5B90">
        <w:t xml:space="preserve"> </w:t>
      </w:r>
      <w:r w:rsidR="00E53A94">
        <w:t xml:space="preserve">Look to maternal and newborn health section for more information on </w:t>
      </w:r>
      <w:r w:rsidR="00F32524">
        <w:t xml:space="preserve">neonatal and perinatal mortality. </w:t>
      </w:r>
    </w:p>
    <w:p w14:paraId="17C9C0F3" w14:textId="77777777" w:rsidR="00682502" w:rsidRDefault="00682502" w:rsidP="00682502"/>
    <w:p w14:paraId="78189B1B" w14:textId="48A25CAA" w:rsidR="00F72FE1" w:rsidRPr="001A5B90" w:rsidRDefault="00413C12" w:rsidP="00682502">
      <w:r w:rsidRPr="001A5B90">
        <w:lastRenderedPageBreak/>
        <w:t xml:space="preserve">According to the 2014 Kenya DHS, </w:t>
      </w:r>
      <w:r w:rsidR="009246FC" w:rsidRPr="001A5B90">
        <w:t xml:space="preserve">between 2010-2014, </w:t>
      </w:r>
      <w:r w:rsidRPr="001A5B90">
        <w:t>Kenya’s</w:t>
      </w:r>
      <w:r w:rsidR="009246FC" w:rsidRPr="001A5B90">
        <w:t xml:space="preserve"> neonatal mortality rate was 22 per 1,000 live births, the postneonatal mortality rate was 16 per 1,000 live births, the </w:t>
      </w:r>
      <w:r w:rsidRPr="001A5B90">
        <w:t>infant mortality rate was 39 per 1,000 live births</w:t>
      </w:r>
      <w:r w:rsidR="009246FC" w:rsidRPr="001A5B90">
        <w:t xml:space="preserve">, </w:t>
      </w:r>
      <w:r w:rsidR="0009760B" w:rsidRPr="001A5B90">
        <w:t xml:space="preserve">the child mortality rate was 14 per 1,000 live births, and the </w:t>
      </w:r>
      <w:r w:rsidR="00F32524">
        <w:t xml:space="preserve">total </w:t>
      </w:r>
      <w:r w:rsidR="0009760B" w:rsidRPr="001A5B90">
        <w:t>under-five mortality rate was 52 per 1,000 live births</w:t>
      </w:r>
      <w:r w:rsidR="00F32524">
        <w:t xml:space="preserve"> (Table 1)</w:t>
      </w:r>
      <w:r w:rsidR="0009760B" w:rsidRPr="001A5B90">
        <w:t>.</w:t>
      </w:r>
      <w:r w:rsidR="00C42B55" w:rsidRPr="00682502">
        <w:rPr>
          <w:rStyle w:val="FootnoteReference"/>
        </w:rPr>
        <w:footnoteReference w:id="92"/>
      </w:r>
      <w:r w:rsidR="0009760B" w:rsidRPr="001A5B90">
        <w:t xml:space="preserve"> While there have been improvements in each of these measures from 2003 to 2014, neonatal mortality lags behind the rest. </w:t>
      </w:r>
      <w:r w:rsidR="00F32524">
        <w:t>F</w:t>
      </w:r>
      <w:r w:rsidR="0009760B" w:rsidRPr="001A5B90">
        <w:t>rom 1999-2003 to 2010-2014, the under-5 mortality rate improved from 115 to 52 per 1,000 live births</w:t>
      </w:r>
      <w:r w:rsidR="00F32524">
        <w:t>, a reduction of over 50%.</w:t>
      </w:r>
      <w:r w:rsidR="00C42B55" w:rsidRPr="00682502">
        <w:rPr>
          <w:rStyle w:val="FootnoteReference"/>
        </w:rPr>
        <w:footnoteReference w:id="93"/>
      </w:r>
      <w:r w:rsidR="00F32524">
        <w:t xml:space="preserve"> While</w:t>
      </w:r>
      <w:r w:rsidR="0009760B" w:rsidRPr="001A5B90">
        <w:t xml:space="preserve"> the neonatal mortality rate </w:t>
      </w:r>
      <w:r w:rsidR="00F32524">
        <w:t>also did decline significantly, it improved to a lesser degree,</w:t>
      </w:r>
      <w:r w:rsidR="0009760B" w:rsidRPr="001A5B90">
        <w:t xml:space="preserve"> from 33 to 22 per 1,000 live births.</w:t>
      </w:r>
      <w:r w:rsidR="00C42B55" w:rsidRPr="00682502">
        <w:rPr>
          <w:rStyle w:val="FootnoteReference"/>
        </w:rPr>
        <w:footnoteReference w:id="94"/>
      </w:r>
      <w:r w:rsidR="00F03647" w:rsidRPr="001A5B90">
        <w:t xml:space="preserve"> </w:t>
      </w:r>
    </w:p>
    <w:p w14:paraId="3D46253D" w14:textId="77777777" w:rsidR="00682502" w:rsidRDefault="00682502" w:rsidP="00DA0041"/>
    <w:p w14:paraId="722BA393" w14:textId="26CA6309" w:rsidR="006D197B" w:rsidRPr="001A5B90" w:rsidRDefault="009246FC" w:rsidP="00DA0041">
      <w:r w:rsidRPr="001A5B90">
        <w:t>More updated data as of 2017 estimated the Kenya infant mortality rate to be 32.6 per 1,000 live births, an improvement from 2014, when the rate was estimated to be 36.2 per 1,000 live births.</w:t>
      </w:r>
      <w:r w:rsidR="00C42B55" w:rsidRPr="00682502">
        <w:rPr>
          <w:rStyle w:val="FootnoteReference"/>
        </w:rPr>
        <w:footnoteReference w:id="95"/>
      </w:r>
      <w:r w:rsidRPr="001A5B90">
        <w:t xml:space="preserve"> Neonatal mortality rate in Kenya was estimated to be at 18.7</w:t>
      </w:r>
      <w:r w:rsidR="00E162DB">
        <w:t xml:space="preserve"> in 2017</w:t>
      </w:r>
      <w:r w:rsidRPr="001A5B90">
        <w:t>, compared to 20.3 per 1,000 live births in 2014.</w:t>
      </w:r>
      <w:r w:rsidR="00D93962" w:rsidRPr="00682502">
        <w:rPr>
          <w:rStyle w:val="FootnoteReference"/>
        </w:rPr>
        <w:footnoteReference w:id="96"/>
      </w:r>
      <w:r w:rsidRPr="001A5B90">
        <w:t xml:space="preserve"> In Kisii County, the infant mortality rate was estimated to be 39.3 in 2014 and 36.1 per 1,000 live births in 2017.</w:t>
      </w:r>
      <w:r w:rsidR="00D93962" w:rsidRPr="00682502">
        <w:rPr>
          <w:rStyle w:val="FootnoteReference"/>
        </w:rPr>
        <w:footnoteReference w:id="97"/>
      </w:r>
      <w:r w:rsidRPr="001A5B90">
        <w:t xml:space="preserve"> Neonatal mortality rate in Kisii county was estimated at 20.0 per 1,000 live births in 2017, improved from 21.3 in 2014.</w:t>
      </w:r>
      <w:r w:rsidR="00D93962" w:rsidRPr="00682502">
        <w:rPr>
          <w:rStyle w:val="FootnoteReference"/>
        </w:rPr>
        <w:footnoteReference w:id="98"/>
      </w:r>
      <w:r w:rsidR="0009760B" w:rsidRPr="001A5B90">
        <w:t xml:space="preserve"> Of note, the under-five mortality rate in Nyanza county was highest in the Nyanza region (where Kisii county is located), at 82 per 1,000 live births from 2004-2014, compared to a low of 42 per 1,000 live births in the central region.</w:t>
      </w:r>
      <w:r w:rsidR="00D93962" w:rsidRPr="00682502">
        <w:rPr>
          <w:rStyle w:val="FootnoteReference"/>
        </w:rPr>
        <w:footnoteReference w:id="99"/>
      </w:r>
      <w:r w:rsidR="00F03647" w:rsidRPr="001A5B90">
        <w:t xml:space="preserve"> </w:t>
      </w:r>
    </w:p>
    <w:p w14:paraId="082590F9" w14:textId="77777777" w:rsidR="00682502" w:rsidRDefault="00682502" w:rsidP="00DA0041"/>
    <w:p w14:paraId="5C3532EB" w14:textId="360565F7" w:rsidR="002F1A5F" w:rsidRDefault="00AC0756" w:rsidP="00DA0041">
      <w:r w:rsidRPr="001A5B90">
        <w:t xml:space="preserve">As </w:t>
      </w:r>
      <w:r w:rsidR="00B5558F">
        <w:t>seen in figure 2, in 2019</w:t>
      </w:r>
      <w:r w:rsidRPr="001A5B90">
        <w:t xml:space="preserve">, the top five causes of death </w:t>
      </w:r>
      <w:r w:rsidR="00B33B5C" w:rsidRPr="001A5B90">
        <w:t xml:space="preserve">for children under-five </w:t>
      </w:r>
      <w:r w:rsidRPr="001A5B90">
        <w:t>in Kenya were neonatal disorders</w:t>
      </w:r>
      <w:r w:rsidR="00771832">
        <w:t xml:space="preserve"> (34.3%)</w:t>
      </w:r>
      <w:r w:rsidRPr="001A5B90">
        <w:t>, diarrheal disease</w:t>
      </w:r>
      <w:r w:rsidR="00771832">
        <w:t xml:space="preserve"> (14.7%)</w:t>
      </w:r>
      <w:r w:rsidRPr="001A5B90">
        <w:t>, lower respiratory infections</w:t>
      </w:r>
      <w:r w:rsidR="00771832">
        <w:t xml:space="preserve"> (11.8%)</w:t>
      </w:r>
      <w:r w:rsidRPr="001A5B90">
        <w:t xml:space="preserve">, </w:t>
      </w:r>
      <w:r w:rsidRPr="002E7CBC">
        <w:rPr>
          <w:highlight w:val="yellow"/>
        </w:rPr>
        <w:t>malaria</w:t>
      </w:r>
      <w:r w:rsidR="00771832" w:rsidRPr="002E7CBC">
        <w:rPr>
          <w:highlight w:val="yellow"/>
        </w:rPr>
        <w:t xml:space="preserve"> (8.7%</w:t>
      </w:r>
      <w:r w:rsidRPr="002E7CBC">
        <w:rPr>
          <w:highlight w:val="yellow"/>
        </w:rPr>
        <w:t>,</w:t>
      </w:r>
      <w:r w:rsidRPr="001A5B90">
        <w:t xml:space="preserve"> and congenital defects</w:t>
      </w:r>
      <w:r w:rsidR="00771832">
        <w:t xml:space="preserve"> (6.1%)</w:t>
      </w:r>
      <w:r w:rsidRPr="001A5B90">
        <w:t>.</w:t>
      </w:r>
      <w:r w:rsidR="00D93962" w:rsidRPr="00682502">
        <w:rPr>
          <w:rStyle w:val="FootnoteReference"/>
        </w:rPr>
        <w:footnoteReference w:id="100"/>
      </w:r>
      <w:r w:rsidRPr="001A5B90">
        <w:t xml:space="preserve"> </w:t>
      </w:r>
      <w:r w:rsidR="00933424" w:rsidRPr="001A5B90">
        <w:t>These 5 cau</w:t>
      </w:r>
      <w:r w:rsidR="00C1751A" w:rsidRPr="001A5B90">
        <w:t>s</w:t>
      </w:r>
      <w:r w:rsidR="00933424" w:rsidRPr="001A5B90">
        <w:t xml:space="preserve">es are responsible for 75.6% of all under-five deaths in Kenya. </w:t>
      </w:r>
      <w:r w:rsidRPr="001A5B90">
        <w:t>Other major causes of under</w:t>
      </w:r>
      <w:r w:rsidR="00F72FE1" w:rsidRPr="001A5B90">
        <w:t>-</w:t>
      </w:r>
      <w:r w:rsidRPr="001A5B90">
        <w:t>five deaths include other infectious diseases (HIV, invasive non-typhoidal salmonella, whooping cough, meningitis, STIs, tetanus, measles, tuberculosis, and typhoid), protein-energy malnutrition, and road injuries.</w:t>
      </w:r>
      <w:r w:rsidR="00D93962" w:rsidRPr="00682502">
        <w:rPr>
          <w:rStyle w:val="FootnoteReference"/>
        </w:rPr>
        <w:footnoteReference w:id="101"/>
      </w:r>
      <w:r w:rsidR="00F03647">
        <w:t xml:space="preserve"> </w:t>
      </w:r>
    </w:p>
    <w:p w14:paraId="5BDB0512" w14:textId="28654CAE" w:rsidR="001A5B90" w:rsidRDefault="001A5B90" w:rsidP="00DA0041"/>
    <w:p w14:paraId="513B85D4" w14:textId="40E3214E" w:rsidR="00B5558F" w:rsidRDefault="00B5558F" w:rsidP="00DA0041">
      <w:r>
        <w:rPr>
          <w:noProof/>
        </w:rPr>
        <w:lastRenderedPageBreak/>
        <w:drawing>
          <wp:inline distT="0" distB="0" distL="0" distR="0" wp14:anchorId="5B0721B2" wp14:editId="3BA48DEB">
            <wp:extent cx="4572000" cy="2743200"/>
            <wp:effectExtent l="0" t="0" r="12700" b="12700"/>
            <wp:docPr id="2" name="Chart 2">
              <a:extLst xmlns:a="http://schemas.openxmlformats.org/drawingml/2006/main">
                <a:ext uri="{FF2B5EF4-FFF2-40B4-BE49-F238E27FC236}">
                  <a16:creationId xmlns:a16="http://schemas.microsoft.com/office/drawing/2014/main" id="{99374B7B-9CFC-A04A-8896-35B1F2175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81824D" w14:textId="1D9199B9" w:rsidR="00B5558F" w:rsidRDefault="00B5558F" w:rsidP="00DA0041">
      <w:pPr>
        <w:rPr>
          <w:i/>
        </w:rPr>
      </w:pPr>
      <w:r w:rsidRPr="00B5558F">
        <w:rPr>
          <w:sz w:val="22"/>
        </w:rPr>
        <w:t>*</w:t>
      </w:r>
      <w:r w:rsidRPr="00B5558F">
        <w:rPr>
          <w:i/>
          <w:sz w:val="22"/>
        </w:rPr>
        <w:t>neonatal period=0-27 days; postneonatal=28-364 days; childhood= 1-3 years</w:t>
      </w:r>
    </w:p>
    <w:p w14:paraId="75C30C52" w14:textId="2F748912" w:rsidR="00B5558F" w:rsidRPr="00B5558F" w:rsidRDefault="00B5558F" w:rsidP="00DA0041">
      <w:r>
        <w:t>Figure 1. Distribution of Child Mortality by Age in Kenya, 2021.</w:t>
      </w:r>
      <w:r w:rsidR="00D93962" w:rsidRPr="00682502">
        <w:rPr>
          <w:rStyle w:val="FootnoteReference"/>
        </w:rPr>
        <w:footnoteReference w:id="102"/>
      </w:r>
      <w:r>
        <w:fldChar w:fldCharType="begin" w:fldLock="1"/>
      </w:r>
      <w:r w:rsidR="005E49F1">
        <w:instrText>ADDIN CSL_CITATION {"citationItems":[{"id":"ITEM-1","itemData":{"DOI":"10.1186/S12939-021-01449-8/FIGURES/4","ISSN":"14759276","PMID":"33902593","abstract":"Background: As under-5 mortality rates declined all over the world, the relative distribution of under-5 deaths during different periods of life changed. To provide information for policymakers to plan for multi-layer health strategies targeting child health, it is essential to quantify the distribution of under-5 deaths by age groups. Methods: Using 245 Demographic and Health Surveys from 64 low- and middle-income countries conducted between 1986 and 2018, we compiled a database of 2,437,718 children under-5 years old with 173,493 deaths. We examined the share of deaths that occurred in the neonatal (&lt; 1 month), postneonatal (1 month to 1 year old), and childhood (1 to 5 years old) periods to the total number of under-5 deaths at both aggregate- and country-level. We estimated the annual change in share of deaths to track the changes over time. We also assessed the association between share of deaths and Gross Domestic Product (GDP) per capita. Results: Neonatal deaths accounted for 53.1% (95% confidence interval [CI]: 52.7, 53.4) of the total under-5 deaths. The neonatal share of deaths was lower in low-income countries at 44.0% (43.5, 44.5), and higher in lower-middle-income and upper-middle income countries at 57.2% (56.8, 57.6) and 54.7% (53.8, 55.5) respectively. There was substantial heterogeneity in share of deaths across countries; for example, the share of neonatal to total under-5 deaths ranged from 20.9% (14.1, 27.6) in Eswatini to 82.8% (73.0, 92.6) in Dominican Republic. The shares of deaths in all three periods were significantly associated with GDP per capita, but in different directions—as GDP per capita increased by 10%, the neonatal share of deaths would significantly increase by 0.78 percentage points [PPs] (0.43, 1.13), and the postneonatal and childhood shares of deaths would significantly decrease by 0.29 PPs (0.04, 0.54) and 0.49 PPs (0.24, 0.74) respectively. Conclusions: Along with the countries’ economic development, an increasing proportion of under-5 deaths occurs in the neonatal period, suggesting a need for multi-layer health strategies with potentially heavier investment in newborn health.","author":[{"dropping-particle":"","family":"Li","given":"Zhihui","non-dropping-particle":"","parse-names":false,"suffix":""},{"dropping-particle":"","family":"Karlsson","given":"Omar","non-dropping-particle":"","parse-names":false,"suffix":""},{"dropping-particle":"","family":"Kim","given":"Rockli","non-dropping-particle":"","parse-names":false,"suffix":""},{"dropping-particle":"V.","family":"Subramanian","given":"S.","non-dropping-particle":"","parse-names":false,"suffix":""}],"container-title":"International Journal for Equity in Health","id":"ITEM-1","issue":"1","issued":{"date-parts":[["2021","12","1"]]},"page":"1-11","publisher":"BioMed Central Ltd","title":"Distribution of under-5 deaths in the neonatal, postneonatal, and childhood periods: a multicountry analysis in 64 low- and middle-income countries","type":"article-journal","volume":"20"},"uris":["http://www.mendeley.com/documents/?uuid=12fcd7cb-e4ee-3573-afe6-d9272bd37ca1"]}],"mendeley":{"formattedCitation":"&lt;sup&gt;31&lt;/sup&gt;","plainTextFormattedCitation":"31","previouslyFormattedCitation":"&lt;sup&gt;31&lt;/sup&gt;"},"properties":{"noteIndex":0},"schema":"https://github.com/citation-style-language/schema/raw/master/csl-citation.json"}</w:instrText>
      </w:r>
      <w:r>
        <w:fldChar w:fldCharType="separate"/>
      </w:r>
      <w:r w:rsidR="000F30D6" w:rsidRPr="000F30D6">
        <w:rPr>
          <w:noProof/>
          <w:vertAlign w:val="superscript"/>
        </w:rPr>
        <w:t>31</w:t>
      </w:r>
      <w:r>
        <w:fldChar w:fldCharType="end"/>
      </w:r>
    </w:p>
    <w:p w14:paraId="0DA0F7C9" w14:textId="77777777" w:rsidR="00B5558F" w:rsidRDefault="00B5558F" w:rsidP="00DA0041"/>
    <w:p w14:paraId="007E3CE4" w14:textId="6C43F1A2" w:rsidR="00405C35" w:rsidRDefault="00405C35" w:rsidP="00DA0041">
      <w:r>
        <w:rPr>
          <w:noProof/>
        </w:rPr>
        <w:drawing>
          <wp:inline distT="0" distB="0" distL="0" distR="0" wp14:anchorId="5B18FA8F" wp14:editId="5C9428D1">
            <wp:extent cx="5087815" cy="3433689"/>
            <wp:effectExtent l="0" t="0" r="17780" b="8255"/>
            <wp:docPr id="1" name="Chart 1">
              <a:extLst xmlns:a="http://schemas.openxmlformats.org/drawingml/2006/main">
                <a:ext uri="{FF2B5EF4-FFF2-40B4-BE49-F238E27FC236}">
                  <a16:creationId xmlns:a16="http://schemas.microsoft.com/office/drawing/2014/main" id="{00D0F995-54F4-EE47-BAED-6320035C1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D87DF7" w14:textId="77777777" w:rsidR="00405C35" w:rsidRDefault="00405C35" w:rsidP="00DA0041">
      <w:pPr>
        <w:rPr>
          <w:i/>
          <w:sz w:val="21"/>
        </w:rPr>
      </w:pPr>
      <w:r w:rsidRPr="00405C35">
        <w:rPr>
          <w:i/>
          <w:sz w:val="21"/>
        </w:rPr>
        <w:t>*other= infectious diseases (HIV, invasive non-typhoidal salmonella, whooping cough, meningitis, STIs, tetanus, measles, tuberculosis, and typhoid), protein-energy malnutrition, and road injuries</w:t>
      </w:r>
    </w:p>
    <w:p w14:paraId="0599C705" w14:textId="1FC45809" w:rsidR="00405C35" w:rsidRPr="00405C35" w:rsidRDefault="00405C35" w:rsidP="00DA0041">
      <w:pPr>
        <w:rPr>
          <w:i/>
          <w:sz w:val="21"/>
        </w:rPr>
      </w:pPr>
      <w:r w:rsidRPr="00405C35">
        <w:rPr>
          <w:b/>
        </w:rPr>
        <w:t xml:space="preserve">Figure </w:t>
      </w:r>
      <w:r w:rsidR="00B5558F">
        <w:rPr>
          <w:b/>
        </w:rPr>
        <w:t>2</w:t>
      </w:r>
      <w:r w:rsidRPr="00405C35">
        <w:rPr>
          <w:b/>
        </w:rPr>
        <w:t>.</w:t>
      </w:r>
      <w:r>
        <w:t xml:space="preserve"> Major causes of under-five mortality in Kenya</w:t>
      </w:r>
      <w:r w:rsidR="00B5558F">
        <w:t>.</w:t>
      </w:r>
      <w:r w:rsidR="00B5558F">
        <w:fldChar w:fldCharType="begin" w:fldLock="1"/>
      </w:r>
      <w:r w:rsidR="00E53E74">
        <w:instrText>ADDIN CSL_CITATION {"citationItems":[{"id":"ITEM-1","itemData":{"id":"ITEM-1","issued":{"date-parts":[["0"]]},"title":"Institute for Health Metrics and Evaluation (IHME). GBD Compare. Seattle, WA: IHME University of Washington, 2019. Available from https://vizhub.healthdata.org/gbd-compare/ (Accessed Feb 28, 2022)","type":"article-journal"},"uris":["http://www.mendeley.com/documents/?uuid=2f18f6f8-a1ea-4b9b-babc-022972aa4aa3"]}],"mendeley":{"formattedCitation":"&lt;sup&gt;5&lt;/sup&gt;","plainTextFormattedCitation":"5","previouslyFormattedCitation":"&lt;sup&gt;5&lt;/sup&gt;"},"properties":{"noteIndex":0},"schema":"https://github.com/citation-style-language/schema/raw/master/csl-citation.json"}</w:instrText>
      </w:r>
      <w:r w:rsidR="00B5558F">
        <w:fldChar w:fldCharType="separate"/>
      </w:r>
      <w:r w:rsidR="00E53E74" w:rsidRPr="00E53E74">
        <w:rPr>
          <w:noProof/>
          <w:vertAlign w:val="superscript"/>
        </w:rPr>
        <w:t>5</w:t>
      </w:r>
      <w:r w:rsidR="00B5558F">
        <w:fldChar w:fldCharType="end"/>
      </w:r>
      <w:r w:rsidR="00D93962" w:rsidRPr="00682502">
        <w:rPr>
          <w:rStyle w:val="FootnoteReference"/>
        </w:rPr>
        <w:footnoteReference w:id="103"/>
      </w:r>
    </w:p>
    <w:p w14:paraId="3606F332" w14:textId="77777777" w:rsidR="00405C35" w:rsidRDefault="00405C35" w:rsidP="00DA0041"/>
    <w:p w14:paraId="4AEF1353" w14:textId="77777777" w:rsidR="00405C35" w:rsidRPr="001A5B90" w:rsidRDefault="00405C35" w:rsidP="00DA0041"/>
    <w:p w14:paraId="43B0D1C5" w14:textId="20EF2EE6" w:rsidR="00294E1C" w:rsidRDefault="00294E1C" w:rsidP="009D3FFB">
      <w:r>
        <w:rPr>
          <w:b/>
        </w:rPr>
        <w:t xml:space="preserve">Causes of neonatal mortality. </w:t>
      </w:r>
      <w:r w:rsidR="00B33B5C" w:rsidRPr="001A5B90">
        <w:t>It may also be important to consider the causes of death by age subgroup, as the major causes can vary significantly among children under-five. The major causes of neonatal mortality in Kenya as of 2018 were preterm birth complications (28%), intrapartum related events (29%), sepsis/tetanus (16%), congenital abnormalities (13%), pneumonia (7%), and other conditions (8%).</w:t>
      </w:r>
      <w:r w:rsidR="00D93962" w:rsidRPr="00682502">
        <w:rPr>
          <w:rStyle w:val="FootnoteReference"/>
        </w:rPr>
        <w:footnoteReference w:id="104"/>
      </w:r>
      <w:r w:rsidR="00B33B5C" w:rsidRPr="001A5B90">
        <w:t xml:space="preserve"> Common complications related to preterm birth, one of the leading cause of neonatal mortality in Kenya, include: respiratory distress syndrome, bronchopulmonary dysplasia, necrotizing enterocolitis, hypothermia, and sepsis.</w:t>
      </w:r>
      <w:r w:rsidR="00D93962" w:rsidRPr="00682502">
        <w:rPr>
          <w:rStyle w:val="FootnoteReference"/>
        </w:rPr>
        <w:footnoteReference w:id="105"/>
      </w:r>
      <w:r w:rsidR="00B33B5C" w:rsidRPr="001A5B90">
        <w:t xml:space="preserve"> The other leading cause of neonatal mortality, intrapartum related events</w:t>
      </w:r>
      <w:r w:rsidR="00471970" w:rsidRPr="001A5B90">
        <w:t>, includes birth asphyxia. While birth asphyxia causes about 25% of all neonatal deaths, approximately 30% of these deaths can be prevented with effective resuscitation at birth.</w:t>
      </w:r>
      <w:r w:rsidR="00D93962" w:rsidRPr="00682502">
        <w:rPr>
          <w:rStyle w:val="FootnoteReference"/>
        </w:rPr>
        <w:footnoteReference w:id="106"/>
      </w:r>
      <w:r w:rsidR="00471970" w:rsidRPr="001A5B90">
        <w:t xml:space="preserve"> </w:t>
      </w:r>
    </w:p>
    <w:p w14:paraId="64C16C2C" w14:textId="77777777" w:rsidR="00294E1C" w:rsidRDefault="00294E1C" w:rsidP="009D3FFB"/>
    <w:p w14:paraId="53745B8D" w14:textId="5DA584B0" w:rsidR="00B31765" w:rsidRPr="001A5B90" w:rsidRDefault="00294E1C" w:rsidP="009D3FFB">
      <w:r>
        <w:rPr>
          <w:b/>
        </w:rPr>
        <w:t>Causes of post</w:t>
      </w:r>
      <w:r w:rsidR="008C4393">
        <w:rPr>
          <w:b/>
        </w:rPr>
        <w:t>-</w:t>
      </w:r>
      <w:r>
        <w:rPr>
          <w:b/>
        </w:rPr>
        <w:t>neon</w:t>
      </w:r>
      <w:r w:rsidR="00C875CC">
        <w:rPr>
          <w:b/>
        </w:rPr>
        <w:t>a</w:t>
      </w:r>
      <w:r>
        <w:rPr>
          <w:b/>
        </w:rPr>
        <w:t xml:space="preserve">tal mortality. </w:t>
      </w:r>
      <w:r w:rsidR="00471970" w:rsidRPr="001A5B90">
        <w:t>There is a l</w:t>
      </w:r>
      <w:r>
        <w:t>imited</w:t>
      </w:r>
      <w:r w:rsidR="00471970" w:rsidRPr="001A5B90">
        <w:t xml:space="preserve"> data on causes of </w:t>
      </w:r>
      <w:r w:rsidR="00BF791D" w:rsidRPr="001A5B90">
        <w:t>death in the postneonatal period</w:t>
      </w:r>
      <w:r>
        <w:t xml:space="preserve"> in Kenya. </w:t>
      </w:r>
      <w:r w:rsidR="00B54B31">
        <w:t>There was a study conducted from 2009-2010 in Siaya County, located in Western Kenya.</w:t>
      </w:r>
      <w:r w:rsidR="00D93962" w:rsidRPr="00682502">
        <w:rPr>
          <w:rStyle w:val="FootnoteReference"/>
        </w:rPr>
        <w:footnoteReference w:id="107"/>
      </w:r>
      <w:r w:rsidR="00B54B31">
        <w:t xml:space="preserve"> In this sample of more than 2,500 infants, the post-neonatal mortality rate was </w:t>
      </w:r>
      <w:r>
        <w:t>46 per 1,000 live births.</w:t>
      </w:r>
      <w:r w:rsidR="00D93962" w:rsidRPr="00682502">
        <w:rPr>
          <w:rStyle w:val="FootnoteReference"/>
        </w:rPr>
        <w:footnoteReference w:id="108"/>
      </w:r>
      <w:r>
        <w:t xml:space="preserve"> In this population, most common causes of postneonatal death were hypovolemic shock/dehydration (30%), pneumonia (26%), </w:t>
      </w:r>
      <w:r w:rsidRPr="002E7CBC">
        <w:rPr>
          <w:shd w:val="clear" w:color="auto" w:fill="FFFF00"/>
        </w:rPr>
        <w:t xml:space="preserve">malaria (10%), </w:t>
      </w:r>
      <w:r w:rsidRPr="007F4109">
        <w:rPr>
          <w:shd w:val="clear" w:color="auto" w:fill="FFFF00"/>
        </w:rPr>
        <w:t>and anemia (9%).</w:t>
      </w:r>
      <w:r>
        <w:fldChar w:fldCharType="begin" w:fldLock="1"/>
      </w:r>
      <w:r w:rsidR="005E49F1">
        <w:instrText>ADDIN CSL_CITATION {"citationItems":[{"id":"ITEM-1","itemData":{"DOI":"10.11604/PAMJ.2018.31.114.16725","ISSN":"19378688","PMID":"31037174","abstract":"INTRODUCTION: To determine the predictors of mortality in infants in Siaya, western Kenya, ahead of novel tuberculosis (TB) vaccine trials in the same population. METHODS: in a study to determine tuberculosis incidence, 2900 infants aged 0-45 days, weighing e","author":[{"dropping-particle":"","family":"Kaguthi","given":"Grace","non-dropping-particle":"","parse-names":false,"suffix":""},{"dropping-particle":"","family":"Nduba","given":"Videlis","non-dropping-particle":"","parse-names":false,"suffix":""},{"dropping-particle":"","family":"Borgdorff","given":"Martien Wilhelm","non-dropping-particle":"","parse-names":false,"suffix":""},{"dropping-particle":"","family":"Verver","given":"Suzanne","non-dropping-particle":"","parse-names":false,"suffix":""}],"container-title":"PAMJ. 2018; 31:114","id":"ITEM-1","issue":"114","issued":{"date-parts":[["2018"]]},"publisher":"African Field Epidemiology Network","title":"Predictors of post neonatal mortality in Western Kenya: a cohort study","type":"article-journal","volume":"31"},"uris":["http://www.mendeley.com/documents/?uuid=fa59cf7b-9bd9-30b6-94a3-e76be1efddd6"]}],"mendeley":{"formattedCitation":"&lt;sup&gt;33&lt;/sup&gt;","plainTextFormattedCitation":"33","previouslyFormattedCitation":"&lt;sup&gt;33&lt;/sup&gt;"},"properties":{"noteIndex":0},"schema":"https://github.com/citation-style-language/schema/raw/master/csl-citation.json"}</w:instrText>
      </w:r>
      <w:r>
        <w:fldChar w:fldCharType="separate"/>
      </w:r>
      <w:r w:rsidR="000F30D6" w:rsidRPr="000F30D6">
        <w:rPr>
          <w:noProof/>
          <w:vertAlign w:val="superscript"/>
        </w:rPr>
        <w:t>33</w:t>
      </w:r>
      <w:r>
        <w:fldChar w:fldCharType="end"/>
      </w:r>
      <w:r>
        <w:t xml:space="preserve"> Undernutrition was found to contribute to 22% of postneonatal deaths, diarrheal disease to 16%, and anemia to 12% of deaths.</w:t>
      </w:r>
      <w:r w:rsidR="00D93962" w:rsidRPr="00682502">
        <w:rPr>
          <w:rStyle w:val="FootnoteReference"/>
        </w:rPr>
        <w:footnoteReference w:id="109"/>
      </w:r>
      <w:r>
        <w:t xml:space="preserve"> Decreased risk for postneonatal death was associated with health facility delivery versus home delivery (HR 0.54, 95% CI 0.34-0.84). Furthermore, mothers with secondary education were more likely to deliver in a health facility (OR 3.02, 95% CI 2.38-3.84).</w:t>
      </w:r>
      <w:r w:rsidR="00D93962" w:rsidRPr="00682502">
        <w:rPr>
          <w:rStyle w:val="FootnoteReference"/>
        </w:rPr>
        <w:footnoteReference w:id="110"/>
      </w:r>
      <w:r>
        <w:t xml:space="preserve"> </w:t>
      </w:r>
    </w:p>
    <w:p w14:paraId="623ECD73" w14:textId="76F755B9" w:rsidR="002D1DBA" w:rsidRPr="001A5B90" w:rsidRDefault="002D1DBA" w:rsidP="002D1DBA"/>
    <w:p w14:paraId="09A09086" w14:textId="4D158DE6" w:rsidR="002D1DBA" w:rsidRPr="001A5B90" w:rsidRDefault="002D1DBA" w:rsidP="002D1DBA">
      <w:pPr>
        <w:rPr>
          <w:b/>
        </w:rPr>
      </w:pPr>
      <w:r w:rsidRPr="001A5B90">
        <w:rPr>
          <w:b/>
        </w:rPr>
        <w:t>Diarrheal diseases</w:t>
      </w:r>
      <w:r w:rsidR="001C65F4">
        <w:rPr>
          <w:b/>
        </w:rPr>
        <w:t>/WASH</w:t>
      </w:r>
      <w:r w:rsidRPr="001A5B90">
        <w:rPr>
          <w:b/>
        </w:rPr>
        <w:t>.</w:t>
      </w:r>
    </w:p>
    <w:p w14:paraId="3C0099A3" w14:textId="414B3CBF" w:rsidR="002D1DBA" w:rsidRPr="001A5B90" w:rsidRDefault="002D1DBA" w:rsidP="002D1DBA">
      <w:pPr>
        <w:rPr>
          <w:b/>
        </w:rPr>
      </w:pPr>
    </w:p>
    <w:p w14:paraId="4281B89C" w14:textId="5F67E060" w:rsidR="00BF791D" w:rsidRPr="001A5B90" w:rsidRDefault="00AC0756" w:rsidP="002D1DBA">
      <w:r w:rsidRPr="001A5B90">
        <w:t>As of 2019, diarrheal disease was the second largest cause of under</w:t>
      </w:r>
      <w:r w:rsidR="00F72FE1" w:rsidRPr="001A5B90">
        <w:t>-</w:t>
      </w:r>
      <w:r w:rsidRPr="001A5B90">
        <w:t>five deaths in Kenya, accounting for 14.7% of deaths in this age group, or 122 deaths per 100,000 live births (caused a total of 7,847 deaths in 2019).</w:t>
      </w:r>
      <w:r w:rsidR="00D93962" w:rsidRPr="00682502">
        <w:rPr>
          <w:rStyle w:val="FootnoteReference"/>
        </w:rPr>
        <w:footnoteReference w:id="111"/>
      </w:r>
      <w:r w:rsidR="006365CB" w:rsidRPr="001A5B90">
        <w:t xml:space="preserve"> </w:t>
      </w:r>
      <w:r w:rsidR="00BD35D1" w:rsidRPr="001A5B90">
        <w:t>DHS data from 2014 showed an overall prevalence of diarrhea in children &lt;5 in the 2 weeks</w:t>
      </w:r>
      <w:r w:rsidR="00294E1C">
        <w:t xml:space="preserve"> preceding</w:t>
      </w:r>
      <w:r w:rsidR="00BD35D1" w:rsidRPr="001A5B90">
        <w:t xml:space="preserve"> the survey to be at 15.2%. In Kisii county, the prevalence was 16.9%.</w:t>
      </w:r>
      <w:r w:rsidR="00D93962" w:rsidRPr="00682502">
        <w:rPr>
          <w:rStyle w:val="FootnoteReference"/>
        </w:rPr>
        <w:footnoteReference w:id="112"/>
      </w:r>
      <w:r w:rsidR="00BD35D1" w:rsidRPr="001A5B90">
        <w:t xml:space="preserve"> </w:t>
      </w:r>
    </w:p>
    <w:p w14:paraId="01F714D8" w14:textId="77777777" w:rsidR="00BD35D1" w:rsidRPr="001A5B90" w:rsidRDefault="00BD35D1" w:rsidP="002D1DBA"/>
    <w:p w14:paraId="4E360DAC" w14:textId="3D8D0005" w:rsidR="00BD35D1" w:rsidRPr="001A5B90" w:rsidRDefault="00BD35D1" w:rsidP="002D1DBA">
      <w:r w:rsidRPr="001A5B90">
        <w:rPr>
          <w:b/>
        </w:rPr>
        <w:lastRenderedPageBreak/>
        <w:t xml:space="preserve">Causes and risk factors. </w:t>
      </w:r>
      <w:r w:rsidR="006365CB" w:rsidRPr="001A5B90">
        <w:t xml:space="preserve">The major </w:t>
      </w:r>
      <w:r w:rsidR="008F2287" w:rsidRPr="001A5B90">
        <w:t>infectious causes</w:t>
      </w:r>
      <w:r w:rsidRPr="001A5B90">
        <w:t xml:space="preserve"> of</w:t>
      </w:r>
      <w:r w:rsidR="006365CB" w:rsidRPr="001A5B90">
        <w:t xml:space="preserve"> diarrheal disease </w:t>
      </w:r>
      <w:r w:rsidR="008F2287" w:rsidRPr="001A5B90">
        <w:t xml:space="preserve">among children in low income countries are </w:t>
      </w:r>
      <w:r w:rsidR="00583212" w:rsidRPr="001A5B90">
        <w:t>r</w:t>
      </w:r>
      <w:r w:rsidR="008F2287" w:rsidRPr="001A5B90">
        <w:t>otavirus</w:t>
      </w:r>
      <w:r w:rsidR="00583212" w:rsidRPr="001A5B90">
        <w:rPr>
          <w:i/>
        </w:rPr>
        <w:t>, Cryptosporidium, Shigella</w:t>
      </w:r>
      <w:r w:rsidR="00583212" w:rsidRPr="001A5B90">
        <w:t>, and</w:t>
      </w:r>
      <w:r w:rsidR="008F2287" w:rsidRPr="001A5B90">
        <w:t xml:space="preserve"> </w:t>
      </w:r>
      <w:r w:rsidR="008F2287" w:rsidRPr="001A5B90">
        <w:rPr>
          <w:i/>
        </w:rPr>
        <w:t>E. coli</w:t>
      </w:r>
      <w:r w:rsidR="00583212" w:rsidRPr="001A5B90">
        <w:rPr>
          <w:i/>
        </w:rPr>
        <w:t xml:space="preserve">, </w:t>
      </w:r>
      <w:r w:rsidR="00583212" w:rsidRPr="001A5B90">
        <w:t>although a variety of intestinal bacteria, viruses, and parasites can cause diarrheal disease</w:t>
      </w:r>
      <w:r w:rsidR="008F2287" w:rsidRPr="00D93962">
        <w:t>.</w:t>
      </w:r>
      <w:r w:rsidR="00D93962" w:rsidRPr="00682502">
        <w:rPr>
          <w:rStyle w:val="FootnoteReference"/>
        </w:rPr>
        <w:footnoteReference w:id="113"/>
      </w:r>
      <w:r w:rsidR="00D93962" w:rsidRPr="00D93962">
        <w:rPr>
          <w:vertAlign w:val="superscript"/>
        </w:rPr>
        <w:t>,</w:t>
      </w:r>
      <w:r w:rsidR="00D93962" w:rsidRPr="00682502">
        <w:rPr>
          <w:rStyle w:val="FootnoteReference"/>
        </w:rPr>
        <w:footnoteReference w:id="114"/>
      </w:r>
      <w:r w:rsidRPr="001A5B90">
        <w:t xml:space="preserve"> </w:t>
      </w:r>
      <w:r w:rsidR="00892CCC" w:rsidRPr="001A5B90">
        <w:t>E</w:t>
      </w:r>
      <w:r w:rsidRPr="001A5B90">
        <w:t xml:space="preserve">xposure to these diarrhea causing agents is related the use of contaminated water, unhygienic practices when preparing food, and poor sanitation practices (e.g. </w:t>
      </w:r>
      <w:r w:rsidR="00294E1C">
        <w:t xml:space="preserve">open defecation/poor </w:t>
      </w:r>
      <w:r w:rsidRPr="001A5B90">
        <w:t>disposal of waste).</w:t>
      </w:r>
      <w:r w:rsidR="00D93962" w:rsidRPr="00682502">
        <w:rPr>
          <w:rStyle w:val="FootnoteReference"/>
        </w:rPr>
        <w:footnoteReference w:id="115"/>
      </w:r>
      <w:r w:rsidR="008F2287" w:rsidRPr="001A5B90">
        <w:t xml:space="preserve"> Risk factors associated with diarrheal disease in Kenya include low level of caregiver’s education, unsafe disposal of children’s feces, and lower income households.</w:t>
      </w:r>
      <w:r w:rsidR="00D93962" w:rsidRPr="00682502">
        <w:rPr>
          <w:rStyle w:val="FootnoteReference"/>
        </w:rPr>
        <w:footnoteReference w:id="116"/>
      </w:r>
      <w:r w:rsidR="00D93962">
        <w:rPr>
          <w:vertAlign w:val="superscript"/>
        </w:rPr>
        <w:t>,</w:t>
      </w:r>
      <w:r w:rsidR="00D93962" w:rsidRPr="00682502">
        <w:rPr>
          <w:rStyle w:val="FootnoteReference"/>
        </w:rPr>
        <w:footnoteReference w:id="117"/>
      </w:r>
      <w:r w:rsidR="00F03647" w:rsidRPr="001A5B90">
        <w:t xml:space="preserve"> </w:t>
      </w:r>
    </w:p>
    <w:p w14:paraId="0AF281D8" w14:textId="77777777" w:rsidR="00892CCC" w:rsidRPr="001A5B90" w:rsidRDefault="00892CCC" w:rsidP="00892CCC"/>
    <w:p w14:paraId="7B754370" w14:textId="61167155" w:rsidR="0091565B" w:rsidRDefault="00892CCC" w:rsidP="00892CCC">
      <w:r w:rsidRPr="001A5B90">
        <w:rPr>
          <w:b/>
        </w:rPr>
        <w:t xml:space="preserve">WASH. </w:t>
      </w:r>
      <w:r w:rsidRPr="001A5B90">
        <w:t>As mentioned above, poor sanitation practices can contribute to diarrheal disease. Specifically, unsafe disposal of human feces spreads disease.</w:t>
      </w:r>
      <w:r w:rsidR="00D93962" w:rsidRPr="00682502">
        <w:rPr>
          <w:rStyle w:val="FootnoteReference"/>
        </w:rPr>
        <w:footnoteReference w:id="118"/>
      </w:r>
      <w:r w:rsidRPr="001A5B90">
        <w:t xml:space="preserve"> In 2014, </w:t>
      </w:r>
      <w:r w:rsidR="00E711EE">
        <w:t xml:space="preserve">83% of </w:t>
      </w:r>
      <w:r w:rsidRPr="001A5B90">
        <w:t xml:space="preserve">mothers reported </w:t>
      </w:r>
      <w:r w:rsidR="00E711EE">
        <w:t>they</w:t>
      </w:r>
      <w:r w:rsidRPr="001A5B90">
        <w:t xml:space="preserve"> had disposed safely of their</w:t>
      </w:r>
      <w:r w:rsidR="00E711EE">
        <w:t xml:space="preserve"> child’s</w:t>
      </w:r>
      <w:r w:rsidRPr="001A5B90">
        <w:t xml:space="preserve"> last stool. Certain factors were strongly correlated with decreasing the likelihood of safe disposal of stool: among mothers with no education, </w:t>
      </w:r>
      <w:r w:rsidR="00E711EE">
        <w:t xml:space="preserve">only </w:t>
      </w:r>
      <w:r w:rsidRPr="001A5B90">
        <w:t>49% of children had their stools safely disposed of.</w:t>
      </w:r>
      <w:r w:rsidR="00D93962" w:rsidRPr="00682502">
        <w:rPr>
          <w:rStyle w:val="FootnoteReference"/>
        </w:rPr>
        <w:footnoteReference w:id="119"/>
      </w:r>
      <w:r w:rsidRPr="001A5B90">
        <w:t xml:space="preserve"> </w:t>
      </w:r>
    </w:p>
    <w:p w14:paraId="6024F4F8" w14:textId="77777777" w:rsidR="0091565B" w:rsidRDefault="0091565B" w:rsidP="00892CCC"/>
    <w:p w14:paraId="3922E871" w14:textId="0408CFBE" w:rsidR="0091565B" w:rsidRDefault="00C1000D" w:rsidP="00892CCC">
      <w:r>
        <w:t>Open defecation</w:t>
      </w:r>
      <w:r w:rsidR="00E173EA">
        <w:t xml:space="preserve"> (OD)</w:t>
      </w:r>
      <w:r>
        <w:t xml:space="preserve"> is the practice of “defecating in fields, forests, bushes, bodies of water, or other open spaces.”</w:t>
      </w:r>
      <w:r w:rsidR="00D93962" w:rsidRPr="00682502">
        <w:rPr>
          <w:rStyle w:val="FootnoteReference"/>
        </w:rPr>
        <w:footnoteReference w:id="120"/>
      </w:r>
      <w:r>
        <w:t xml:space="preserve"> </w:t>
      </w:r>
      <w:r w:rsidR="0091565B">
        <w:t>According to data from the Kenya DHS, the o</w:t>
      </w:r>
      <w:r w:rsidR="005913B0">
        <w:t>pen def</w:t>
      </w:r>
      <w:r w:rsidR="0091565B">
        <w:t>ec</w:t>
      </w:r>
      <w:r w:rsidR="005913B0">
        <w:t>ation rate in 2014</w:t>
      </w:r>
      <w:r w:rsidR="0091565B">
        <w:t xml:space="preserve"> was 9.9%, an improvement from 16.2% in 2003. However, as of 2014, 96% of those practicing open defecation live</w:t>
      </w:r>
      <w:r w:rsidR="00E711EE">
        <w:t>d</w:t>
      </w:r>
      <w:r w:rsidR="0091565B">
        <w:t xml:space="preserve"> in poor households, compared to 82% in 2003, suggesting interventions to reduce open defecation have shown improvements in wealthier households, but less so in poor communities.</w:t>
      </w:r>
      <w:r w:rsidR="00D93962" w:rsidRPr="00682502">
        <w:rPr>
          <w:rStyle w:val="FootnoteReference"/>
        </w:rPr>
        <w:footnoteReference w:id="121"/>
      </w:r>
      <w:r w:rsidR="0091565B">
        <w:t xml:space="preserve"> World bank estimates from 2020 show the open defecation rate to be at 8.5%</w:t>
      </w:r>
      <w:r>
        <w:t xml:space="preserve"> in Kenya overall, and at 11.3% in rural areas in Kenya</w:t>
      </w:r>
      <w:r w:rsidR="0091565B">
        <w:t>.</w:t>
      </w:r>
      <w:r w:rsidR="00D93962" w:rsidRPr="00682502">
        <w:rPr>
          <w:rStyle w:val="FootnoteReference"/>
        </w:rPr>
        <w:footnoteReference w:id="122"/>
      </w:r>
      <w:r>
        <w:t xml:space="preserve"> </w:t>
      </w:r>
    </w:p>
    <w:p w14:paraId="523BE4F3" w14:textId="5ECB2454" w:rsidR="00CC2E95" w:rsidRDefault="00CC2E95" w:rsidP="00892CCC"/>
    <w:p w14:paraId="0797D91A" w14:textId="156624C6" w:rsidR="00C81DC9" w:rsidRDefault="00C81DC9" w:rsidP="00C81DC9">
      <w:r>
        <w:t>Open Defecation Free (ODF) households in Kenya are formally defined by the Ministry of Health as households with 1) no open defecation site; 2) with a basic latrine facility with drop hole cover to prevent flies; and 3) with a handwashing station.</w:t>
      </w:r>
      <w:r w:rsidR="00D93962" w:rsidRPr="00682502">
        <w:rPr>
          <w:rStyle w:val="FootnoteReference"/>
        </w:rPr>
        <w:footnoteReference w:id="123"/>
      </w:r>
      <w:r>
        <w:t xml:space="preserve"> </w:t>
      </w:r>
      <w:r w:rsidR="00C1000D">
        <w:t>Data from the Kenya Health Sector Working Group found that 32% of villages in Kenya claimed to be open defecation free as of 2021.</w:t>
      </w:r>
      <w:r w:rsidR="00D93962" w:rsidRPr="00682502">
        <w:rPr>
          <w:rStyle w:val="FootnoteReference"/>
        </w:rPr>
        <w:footnoteReference w:id="124"/>
      </w:r>
      <w:r w:rsidR="00C1000D">
        <w:t xml:space="preserve"> In the Kisii County project area included in the knowledge practice and coverage survey </w:t>
      </w:r>
      <w:r w:rsidR="00C1000D">
        <w:lastRenderedPageBreak/>
        <w:t xml:space="preserve">in 2017, </w:t>
      </w:r>
      <w:r>
        <w:t>only 10</w:t>
      </w:r>
      <w:r w:rsidR="00237B20">
        <w:t>.3</w:t>
      </w:r>
      <w:r>
        <w:t>% of survey households were formally ODF.</w:t>
      </w:r>
      <w:r w:rsidR="00D93962" w:rsidRPr="00682502">
        <w:rPr>
          <w:rStyle w:val="FootnoteReference"/>
        </w:rPr>
        <w:footnoteReference w:id="125"/>
      </w:r>
      <w:r>
        <w:t xml:space="preserve"> </w:t>
      </w:r>
      <w:r w:rsidR="00C1000D">
        <w:t>This low rate of ODF households in Kisii County is likely due to the lack of drop hole covers and handwashing stations in many households in Kisii County.</w:t>
      </w:r>
      <w:r w:rsidR="00D93962" w:rsidRPr="00682502">
        <w:rPr>
          <w:rStyle w:val="FootnoteReference"/>
        </w:rPr>
        <w:footnoteReference w:id="126"/>
      </w:r>
      <w:r w:rsidR="00E173EA">
        <w:t xml:space="preserve"> Despite the limited percent of households in Kisii County that are ODF, the open defecation rate in Kenya has been estimated to be very low by multiple measures. The 2011 Multiple Indicator Cluster Survey (MICS) showed the open defecation rate in Kisii County to be at 0.4%.</w:t>
      </w:r>
      <w:r w:rsidR="00D93962" w:rsidRPr="00682502">
        <w:rPr>
          <w:rStyle w:val="FootnoteReference"/>
        </w:rPr>
        <w:footnoteReference w:id="127"/>
      </w:r>
      <w:r w:rsidR="00E173EA">
        <w:t xml:space="preserve"> More recent estimates put the OD rate in Kisii County at 0.6%.</w:t>
      </w:r>
      <w:r w:rsidR="00F03647" w:rsidRPr="00682502">
        <w:rPr>
          <w:rStyle w:val="FootnoteReference"/>
        </w:rPr>
        <w:footnoteReference w:id="128"/>
      </w:r>
      <w:r w:rsidR="00E173EA">
        <w:t xml:space="preserve"> In comparison, the mean OD rate across Kenya was estimated at 23.5% in the same study.</w:t>
      </w:r>
      <w:r w:rsidR="00D93962" w:rsidRPr="00682502">
        <w:rPr>
          <w:rStyle w:val="FootnoteReference"/>
        </w:rPr>
        <w:footnoteReference w:id="129"/>
      </w:r>
      <w:r w:rsidR="00F03647">
        <w:t xml:space="preserve"> </w:t>
      </w:r>
    </w:p>
    <w:p w14:paraId="198C1613" w14:textId="77777777" w:rsidR="0091565B" w:rsidRPr="001A5B90" w:rsidRDefault="0091565B" w:rsidP="00892CCC"/>
    <w:p w14:paraId="49ACF2FC" w14:textId="0F8FB6B1" w:rsidR="00892CCC" w:rsidRPr="001A5B90" w:rsidRDefault="001C65F4" w:rsidP="002D1DBA">
      <w:r>
        <w:t>Appropriate water treatment methods, defined by the 2014 Kenya DHS, include boiling, bleaching or adding chlorine, filtering or straining, or using solar disinfection.</w:t>
      </w:r>
      <w:r w:rsidR="00D93962" w:rsidRPr="00682502">
        <w:rPr>
          <w:rStyle w:val="FootnoteReference"/>
        </w:rPr>
        <w:footnoteReference w:id="130"/>
      </w:r>
      <w:r w:rsidR="00323362">
        <w:t xml:space="preserve"> According to the DHS, </w:t>
      </w:r>
      <w:r w:rsidR="00323362" w:rsidRPr="001A5B90">
        <w:t>54% of households in Kenya did not treat their drinking water in 2014.</w:t>
      </w:r>
      <w:r w:rsidR="00D93962" w:rsidRPr="00682502">
        <w:rPr>
          <w:rStyle w:val="FootnoteReference"/>
        </w:rPr>
        <w:footnoteReference w:id="131"/>
      </w:r>
      <w:r w:rsidR="00F03647" w:rsidRPr="001A5B90">
        <w:t xml:space="preserve"> </w:t>
      </w:r>
    </w:p>
    <w:p w14:paraId="64FB40B8" w14:textId="15EEBFDE" w:rsidR="00583212" w:rsidRPr="001A5B90" w:rsidRDefault="00583212" w:rsidP="002D1DBA"/>
    <w:p w14:paraId="596263BD" w14:textId="3475FB7F" w:rsidR="00F32524" w:rsidRDefault="00583212" w:rsidP="002D1DBA">
      <w:r w:rsidRPr="001A5B90">
        <w:rPr>
          <w:b/>
        </w:rPr>
        <w:t xml:space="preserve">Prevention of diarrhea. </w:t>
      </w:r>
      <w:r w:rsidRPr="001A5B90">
        <w:t xml:space="preserve">Exclusive breastfeeding for the first 6 months is recommended to prevent diarrheal disease, as the </w:t>
      </w:r>
      <w:r w:rsidR="008021D0">
        <w:t xml:space="preserve">premature </w:t>
      </w:r>
      <w:r w:rsidRPr="001A5B90">
        <w:t>introduction of supplementary foods has the potential to introduce pathogens</w:t>
      </w:r>
      <w:r w:rsidR="008021D0">
        <w:t>. Also,</w:t>
      </w:r>
      <w:r w:rsidRPr="001A5B90">
        <w:t xml:space="preserve"> maternal breast milk can strengthen the gut immune system in infants.</w:t>
      </w:r>
      <w:r w:rsidR="00D93962" w:rsidRPr="00682502">
        <w:rPr>
          <w:rStyle w:val="FootnoteReference"/>
        </w:rPr>
        <w:footnoteReference w:id="132"/>
      </w:r>
      <w:r w:rsidRPr="001A5B90">
        <w:t xml:space="preserve"> Improved hygiene and sanitation practices</w:t>
      </w:r>
      <w:r w:rsidR="008021D0">
        <w:t>, such as handwashing, improved water storage and water treatment, and sanitary disposal of feces</w:t>
      </w:r>
      <w:r w:rsidRPr="001A5B90">
        <w:t xml:space="preserve"> can also prevent exposure to diarrhe</w:t>
      </w:r>
      <w:r w:rsidR="00892CCC" w:rsidRPr="001A5B90">
        <w:t>a causing pathogens, such as handwashing, improved water storage and water treatment, and sanitary disposal of feces.</w:t>
      </w:r>
      <w:r w:rsidR="00D93962" w:rsidRPr="00682502">
        <w:rPr>
          <w:rStyle w:val="FootnoteReference"/>
        </w:rPr>
        <w:footnoteReference w:id="133"/>
      </w:r>
      <w:r w:rsidR="00892CCC" w:rsidRPr="001A5B90">
        <w:t xml:space="preserve"> Furthermore, immunizations</w:t>
      </w:r>
      <w:r w:rsidR="004825B6">
        <w:t>, such as the rotavirus vaccine,</w:t>
      </w:r>
      <w:r w:rsidR="00892CCC" w:rsidRPr="001A5B90">
        <w:t xml:space="preserve"> can reduce diarrheal disease in children</w:t>
      </w:r>
      <w:r w:rsidR="004825B6">
        <w:t>.</w:t>
      </w:r>
      <w:r w:rsidR="00D93962" w:rsidRPr="00682502">
        <w:rPr>
          <w:rStyle w:val="FootnoteReference"/>
        </w:rPr>
        <w:footnoteReference w:id="134"/>
      </w:r>
      <w:r w:rsidR="004825B6">
        <w:t xml:space="preserve"> The rotavirus vaccine has been part of the childhood immunization schedule for infants at 6 and 10 weeks since 2014. Introduction of this vaccine resulted in an 80% reduction in rotavirus related hospitalizations two years after implementation.</w:t>
      </w:r>
      <w:r w:rsidR="00D93962" w:rsidRPr="00682502">
        <w:rPr>
          <w:rStyle w:val="FootnoteReference"/>
        </w:rPr>
        <w:footnoteReference w:id="135"/>
      </w:r>
      <w:r w:rsidR="004825B6">
        <w:t xml:space="preserve"> </w:t>
      </w:r>
      <w:r w:rsidR="0030086B">
        <w:t>While the goal for rotavirus vaccine coverage is 80% to achieve maximum population benefit</w:t>
      </w:r>
      <w:r w:rsidR="004825B6">
        <w:t>, vaccine coverage remains a challenge in some areas</w:t>
      </w:r>
      <w:r w:rsidR="0030086B">
        <w:t>.</w:t>
      </w:r>
      <w:r w:rsidR="00D93962" w:rsidRPr="00682502">
        <w:rPr>
          <w:rStyle w:val="FootnoteReference"/>
        </w:rPr>
        <w:footnoteReference w:id="136"/>
      </w:r>
      <w:r w:rsidR="004825B6">
        <w:t xml:space="preserve"> </w:t>
      </w:r>
      <w:r w:rsidR="0030086B">
        <w:t>For example, o</w:t>
      </w:r>
      <w:r w:rsidR="004825B6">
        <w:t xml:space="preserve">ne study of the Mbita, a town located near Kisii County </w:t>
      </w:r>
      <w:r w:rsidR="00715799">
        <w:t xml:space="preserve">in western Kenya, </w:t>
      </w:r>
      <w:r w:rsidR="00715799">
        <w:lastRenderedPageBreak/>
        <w:t>showed that in 2016, the rotavirus vaccine coverage was 77.9% for the first dose and 67.8% for the second dose.</w:t>
      </w:r>
      <w:r w:rsidR="00D93962" w:rsidRPr="00682502">
        <w:rPr>
          <w:rStyle w:val="FootnoteReference"/>
        </w:rPr>
        <w:footnoteReference w:id="137"/>
      </w:r>
      <w:r w:rsidR="00F03647">
        <w:t xml:space="preserve"> </w:t>
      </w:r>
    </w:p>
    <w:p w14:paraId="47521060" w14:textId="77777777" w:rsidR="00F32524" w:rsidRPr="001A5B90" w:rsidRDefault="00F32524" w:rsidP="002D1DBA"/>
    <w:p w14:paraId="16923E78" w14:textId="70E635A9" w:rsidR="00BD35D1" w:rsidRDefault="00BD35D1" w:rsidP="002D1DBA">
      <w:r w:rsidRPr="001A5B90">
        <w:rPr>
          <w:b/>
        </w:rPr>
        <w:t>Health consequences</w:t>
      </w:r>
      <w:r w:rsidR="00583212" w:rsidRPr="001A5B90">
        <w:rPr>
          <w:b/>
        </w:rPr>
        <w:t xml:space="preserve"> and treatme</w:t>
      </w:r>
      <w:r w:rsidR="00892CCC" w:rsidRPr="001A5B90">
        <w:rPr>
          <w:b/>
        </w:rPr>
        <w:t>nts</w:t>
      </w:r>
      <w:r w:rsidRPr="001A5B90">
        <w:rPr>
          <w:b/>
        </w:rPr>
        <w:t xml:space="preserve">. </w:t>
      </w:r>
      <w:r w:rsidRPr="001A5B90">
        <w:t xml:space="preserve">Severe diarrhea can quickly lead to dehydration in children, which can lead to significant morbidity and mortality. </w:t>
      </w:r>
      <w:r w:rsidR="00892CCC" w:rsidRPr="001A5B90">
        <w:t>In addition to causing dehydration, diarrheal disease can contribute to malnutrition, due to the impaired absorption of nutrients.</w:t>
      </w:r>
      <w:r w:rsidR="00D93962" w:rsidRPr="00682502">
        <w:rPr>
          <w:rStyle w:val="FootnoteReference"/>
        </w:rPr>
        <w:footnoteReference w:id="138"/>
      </w:r>
      <w:r w:rsidR="00892CCC" w:rsidRPr="001A5B90">
        <w:t xml:space="preserve"> </w:t>
      </w:r>
      <w:r w:rsidR="00583212" w:rsidRPr="001A5B90">
        <w:t>Importantly</w:t>
      </w:r>
      <w:r w:rsidRPr="001A5B90">
        <w:t>, dehydration can be</w:t>
      </w:r>
      <w:r w:rsidR="00892CCC" w:rsidRPr="001A5B90">
        <w:t xml:space="preserve"> effectively</w:t>
      </w:r>
      <w:r w:rsidRPr="001A5B90">
        <w:t xml:space="preserve"> treated with oral rehydration therapy</w:t>
      </w:r>
      <w:r w:rsidR="00583212" w:rsidRPr="001A5B90">
        <w:t xml:space="preserve"> (ORT)</w:t>
      </w:r>
      <w:r w:rsidRPr="001A5B90">
        <w:t>.</w:t>
      </w:r>
      <w:r w:rsidR="00D93962" w:rsidRPr="00682502">
        <w:rPr>
          <w:rStyle w:val="FootnoteReference"/>
        </w:rPr>
        <w:footnoteReference w:id="139"/>
      </w:r>
      <w:r w:rsidRPr="001A5B90">
        <w:t xml:space="preserve"> </w:t>
      </w:r>
      <w:r w:rsidR="008D6BCB">
        <w:t xml:space="preserve">There are a variety of forms of ORT, including those with varying salt content, home-based ORT, and </w:t>
      </w:r>
      <w:r w:rsidR="00526159">
        <w:t xml:space="preserve">packaged </w:t>
      </w:r>
      <w:r w:rsidR="008D6BCB">
        <w:t>ORT with added nutrients.</w:t>
      </w:r>
      <w:r w:rsidR="00D93962" w:rsidRPr="00682502">
        <w:rPr>
          <w:rStyle w:val="FootnoteReference"/>
        </w:rPr>
        <w:footnoteReference w:id="140"/>
      </w:r>
      <w:r w:rsidR="008D6BCB">
        <w:t xml:space="preserve"> ORT can come in packets to be mixed with water, or can be created at home, with evidence suggesting both forms are effective for treating diarrhea in children.</w:t>
      </w:r>
      <w:r w:rsidR="00F03647" w:rsidRPr="00682502">
        <w:rPr>
          <w:rStyle w:val="FootnoteReference"/>
        </w:rPr>
        <w:footnoteReference w:id="141"/>
      </w:r>
      <w:r w:rsidR="008D6BCB">
        <w:t xml:space="preserve"> </w:t>
      </w:r>
      <w:r w:rsidR="00526159">
        <w:t xml:space="preserve">Home-based oral rehydration therapy is a mixture of water, salt, and sugar that is administered orally to treat dehydration caused by diarrhea. </w:t>
      </w:r>
      <w:r w:rsidRPr="001A5B90">
        <w:t xml:space="preserve">According to 2014 data, 58% of mothers sought advice from a health care provider when their child had diarrhea and 78.1% of children received </w:t>
      </w:r>
      <w:r w:rsidR="00526159">
        <w:t xml:space="preserve">some form of </w:t>
      </w:r>
      <w:r w:rsidRPr="001A5B90">
        <w:t>oral rehydration therapy.</w:t>
      </w:r>
      <w:r w:rsidR="003C0B65" w:rsidRPr="00682502">
        <w:rPr>
          <w:rStyle w:val="FootnoteReference"/>
        </w:rPr>
        <w:footnoteReference w:id="142"/>
      </w:r>
      <w:r w:rsidRPr="001A5B90">
        <w:t xml:space="preserve"> </w:t>
      </w:r>
      <w:r w:rsidR="00583212" w:rsidRPr="001A5B90">
        <w:t>In addition to ORT, other treatments include zinc supplements (which can reduce the duration of diarrhea) and providing nutrient-rich foods to prevent malnutrition.</w:t>
      </w:r>
      <w:r w:rsidR="003C0B65" w:rsidRPr="00682502">
        <w:rPr>
          <w:rStyle w:val="FootnoteReference"/>
        </w:rPr>
        <w:footnoteReference w:id="143"/>
      </w:r>
      <w:r w:rsidR="00F03647">
        <w:t xml:space="preserve"> </w:t>
      </w:r>
    </w:p>
    <w:p w14:paraId="2447B580" w14:textId="6E0AABAA" w:rsidR="00526159" w:rsidRDefault="00526159" w:rsidP="002D1DBA"/>
    <w:p w14:paraId="2A68937E" w14:textId="3F2A6064" w:rsidR="00526159" w:rsidRPr="001A5B90" w:rsidRDefault="00526159" w:rsidP="002D1DBA">
      <w:r>
        <w:t>According to 2011 MICS data,</w:t>
      </w:r>
      <w:r w:rsidR="002E1738">
        <w:t xml:space="preserve"> in Kisii County</w:t>
      </w:r>
      <w:r>
        <w:t xml:space="preserve"> 21.6% of children with diarrhea received some form of ORT.</w:t>
      </w:r>
      <w:r w:rsidR="003C0B65" w:rsidRPr="00682502">
        <w:rPr>
          <w:rStyle w:val="FootnoteReference"/>
        </w:rPr>
        <w:footnoteReference w:id="144"/>
      </w:r>
      <w:r>
        <w:t xml:space="preserve"> More specifically, 12.1% of children with diarrhea received pre-packaged ORT, 10.8% of children received a sugar and salt solution, and 10.8% received some type of recommended homemade fluid.</w:t>
      </w:r>
      <w:r w:rsidR="003C0B65" w:rsidRPr="00682502">
        <w:rPr>
          <w:rStyle w:val="FootnoteReference"/>
        </w:rPr>
        <w:footnoteReference w:id="145"/>
      </w:r>
      <w:r w:rsidR="00F03647" w:rsidRPr="001A5B90">
        <w:t xml:space="preserve"> </w:t>
      </w:r>
    </w:p>
    <w:p w14:paraId="0C95A0A9" w14:textId="77777777" w:rsidR="002D1DBA" w:rsidRPr="001A5B90" w:rsidRDefault="002D1DBA" w:rsidP="002D1DBA"/>
    <w:p w14:paraId="76C0C41E" w14:textId="0C9E23EF" w:rsidR="007B5B29" w:rsidRPr="00150F1E" w:rsidRDefault="007B5B29" w:rsidP="00150F1E">
      <w:pPr>
        <w:rPr>
          <w:b/>
        </w:rPr>
      </w:pPr>
      <w:r w:rsidRPr="00150F1E">
        <w:rPr>
          <w:b/>
        </w:rPr>
        <w:t>Pneumonia/A</w:t>
      </w:r>
      <w:r w:rsidR="00150F1E" w:rsidRPr="00150F1E">
        <w:rPr>
          <w:b/>
        </w:rPr>
        <w:t>cute respiratory infection.</w:t>
      </w:r>
    </w:p>
    <w:p w14:paraId="280961A7" w14:textId="37E1F61B" w:rsidR="00E87C85" w:rsidRPr="001A5B90" w:rsidRDefault="00E87C85" w:rsidP="00E87C85"/>
    <w:p w14:paraId="70C69F0C" w14:textId="47EB6A48" w:rsidR="00632A60" w:rsidRPr="00632A60" w:rsidRDefault="00632A60" w:rsidP="00150F1E">
      <w:r w:rsidRPr="001A5B90">
        <w:t>Lower respiratory infections (LRIs) accounted for 13.3% of deaths in children &lt;5 worldwide in 2019.</w:t>
      </w:r>
      <w:r w:rsidR="003C0B65" w:rsidRPr="00682502">
        <w:rPr>
          <w:rStyle w:val="FootnoteReference"/>
        </w:rPr>
        <w:footnoteReference w:id="146"/>
      </w:r>
      <w:r w:rsidRPr="001A5B90">
        <w:t xml:space="preserve"> In Kenya, LRIs caused 11.8% of deaths in this age group and in Kisii county, 8.3% of deaths were caused by LRIs.</w:t>
      </w:r>
      <w:r>
        <w:t xml:space="preserve"> The most common causes of pneumonia in children are </w:t>
      </w:r>
      <w:r w:rsidRPr="00632A60">
        <w:rPr>
          <w:i/>
        </w:rPr>
        <w:t>Streptococcus pneumoniae</w:t>
      </w:r>
      <w:r>
        <w:t xml:space="preserve">, </w:t>
      </w:r>
      <w:r w:rsidRPr="00632A60">
        <w:rPr>
          <w:i/>
        </w:rPr>
        <w:t>Haemophilus influenz</w:t>
      </w:r>
      <w:r>
        <w:rPr>
          <w:i/>
        </w:rPr>
        <w:t>ae</w:t>
      </w:r>
      <w:r>
        <w:t xml:space="preserve"> type b (Hib), and respiratory syncytial </w:t>
      </w:r>
      <w:r>
        <w:lastRenderedPageBreak/>
        <w:t>virus.</w:t>
      </w:r>
      <w:r w:rsidR="003C0B65" w:rsidRPr="00682502">
        <w:rPr>
          <w:rStyle w:val="FootnoteReference"/>
        </w:rPr>
        <w:footnoteReference w:id="147"/>
      </w:r>
      <w:r>
        <w:t xml:space="preserve"> Of note, for infants infected with HIV, </w:t>
      </w:r>
      <w:r>
        <w:rPr>
          <w:i/>
        </w:rPr>
        <w:t>Pneumocystis jiroveci</w:t>
      </w:r>
      <w:r>
        <w:t xml:space="preserve"> is a common cause of pneumonia.</w:t>
      </w:r>
      <w:r w:rsidR="003C0B65" w:rsidRPr="00682502">
        <w:rPr>
          <w:rStyle w:val="FootnoteReference"/>
        </w:rPr>
        <w:footnoteReference w:id="148"/>
      </w:r>
      <w:r>
        <w:t xml:space="preserve"> Bacterial causes of pneumonia can be treated with antibiotics, while viral causes may require supportive care.</w:t>
      </w:r>
      <w:r w:rsidR="00677B20">
        <w:t xml:space="preserve"> Most often, healthy children can be successfully treated with inexpensive oral antibiotics without requiring hospitalization.</w:t>
      </w:r>
      <w:r w:rsidR="009F1379" w:rsidRPr="00682502">
        <w:rPr>
          <w:rStyle w:val="FootnoteReference"/>
        </w:rPr>
        <w:footnoteReference w:id="149"/>
      </w:r>
      <w:r w:rsidR="00677B20">
        <w:t xml:space="preserve"> However, children with weakened immune system (such as those who are malnourished, were not exclusively breastfed, or have pre-existing illnesses such as HIV) are at increased risk for contracting and requiring hospitalization for pneumonia.</w:t>
      </w:r>
      <w:r w:rsidR="009F1379" w:rsidRPr="00682502">
        <w:rPr>
          <w:rStyle w:val="FootnoteReference"/>
        </w:rPr>
        <w:footnoteReference w:id="150"/>
      </w:r>
      <w:r w:rsidR="00F03647" w:rsidRPr="00632A60">
        <w:t xml:space="preserve"> </w:t>
      </w:r>
    </w:p>
    <w:p w14:paraId="70996AA5" w14:textId="77777777" w:rsidR="00632A60" w:rsidRDefault="00632A60" w:rsidP="00150F1E"/>
    <w:p w14:paraId="6492298B" w14:textId="6C9F25B0" w:rsidR="0092753B" w:rsidRPr="001A5B90" w:rsidRDefault="00E87C85" w:rsidP="00150F1E">
      <w:r w:rsidRPr="001A5B90">
        <w:t xml:space="preserve">Data from the 2014 Kenya DHS shows that among children with symptoms of an acute respiratory infection (ARI), </w:t>
      </w:r>
      <w:r w:rsidR="0092753B" w:rsidRPr="001A5B90">
        <w:t>66% were taken to a health facility or health provider, and antibiotics were used to treat children 53% of the time.</w:t>
      </w:r>
      <w:r w:rsidR="00F03647" w:rsidRPr="00682502">
        <w:rPr>
          <w:rStyle w:val="FootnoteReference"/>
        </w:rPr>
        <w:footnoteReference w:id="151"/>
      </w:r>
      <w:r w:rsidR="0092753B" w:rsidRPr="001A5B90">
        <w:t xml:space="preserve"> Mothers with higher levels of education were more likely to bring their child to a health facility.</w:t>
      </w:r>
      <w:r w:rsidR="00F03647" w:rsidRPr="00682502">
        <w:rPr>
          <w:rStyle w:val="FootnoteReference"/>
        </w:rPr>
        <w:footnoteReference w:id="152"/>
      </w:r>
      <w:r w:rsidR="002E1738">
        <w:t xml:space="preserve"> Specific to Kisii County, 2011 MICS data showed that of children with suspected pneumonia in the two weeks prior to the survey, 47.4% were taken to an appropriate health provider and 40.3% were treated with antibiotics.</w:t>
      </w:r>
      <w:r w:rsidR="00F03647" w:rsidRPr="00682502">
        <w:rPr>
          <w:rStyle w:val="FootnoteReference"/>
        </w:rPr>
        <w:footnoteReference w:id="153"/>
      </w:r>
      <w:r w:rsidR="00F03647" w:rsidRPr="001A5B90">
        <w:t xml:space="preserve"> </w:t>
      </w:r>
    </w:p>
    <w:p w14:paraId="333EF6CF" w14:textId="77777777" w:rsidR="00677B20" w:rsidRPr="001A5B90" w:rsidRDefault="00677B20" w:rsidP="00677B20"/>
    <w:p w14:paraId="5953683B" w14:textId="1B7B9F6A" w:rsidR="00667C95" w:rsidRPr="009C0CB9" w:rsidRDefault="009C0CB9" w:rsidP="00F33758">
      <w:pPr>
        <w:rPr>
          <w:b/>
        </w:rPr>
      </w:pPr>
      <w:r>
        <w:rPr>
          <w:b/>
        </w:rPr>
        <w:t>Malaria</w:t>
      </w:r>
    </w:p>
    <w:p w14:paraId="36C6D7F9" w14:textId="77777777" w:rsidR="009C0CB9" w:rsidRDefault="009C0CB9" w:rsidP="00F33758"/>
    <w:p w14:paraId="63D8808F" w14:textId="03DD02F7" w:rsidR="00667C95" w:rsidRPr="00572C8A" w:rsidRDefault="00F33758" w:rsidP="00667C95">
      <w:r>
        <w:t>In 2020, the Kenya Ministry of Health completed the 2020 Kenya Malaria Indicator Survey (MIS).</w:t>
      </w:r>
      <w:r w:rsidR="009F1379" w:rsidRPr="00682502">
        <w:rPr>
          <w:rStyle w:val="FootnoteReference"/>
        </w:rPr>
        <w:footnoteReference w:id="154"/>
      </w:r>
      <w:r>
        <w:t xml:space="preserve"> </w:t>
      </w:r>
      <w:r w:rsidR="00BB6E1D">
        <w:t xml:space="preserve">In this report, Kenya is divided into five regions based on </w:t>
      </w:r>
      <w:r w:rsidR="009C0CB9">
        <w:t>geographic features that affect the risk of m</w:t>
      </w:r>
      <w:r w:rsidR="00667C95">
        <w:t>alaria transmission</w:t>
      </w:r>
      <w:r w:rsidR="009C0CB9">
        <w:t xml:space="preserve">. These </w:t>
      </w:r>
      <w:r w:rsidR="00667C95">
        <w:t xml:space="preserve">five malaria endemic zones </w:t>
      </w:r>
      <w:r w:rsidR="009C0CB9">
        <w:t xml:space="preserve">are: </w:t>
      </w:r>
      <w:r w:rsidR="00667C95">
        <w:t xml:space="preserve">highland epidemic prone, lake endemic, coast endemic, seasonal, and low-risk. </w:t>
      </w:r>
      <w:r w:rsidR="00667C95" w:rsidRPr="00572C8A">
        <w:t>Kisii county is located in the highland epidemic prone region, which is an area where malaria transmission is seasonal, with peaks in transmission varying significantly from year to year.</w:t>
      </w:r>
      <w:r w:rsidR="009F1379" w:rsidRPr="00572C8A">
        <w:rPr>
          <w:rStyle w:val="FootnoteReference"/>
        </w:rPr>
        <w:footnoteReference w:id="155"/>
      </w:r>
      <w:r w:rsidR="00667C95" w:rsidRPr="00572C8A">
        <w:t xml:space="preserve"> In years with warm temperatures during rainy seasons, there can be an increased intensity of malaria transmission, allowing levels to reach epidemic </w:t>
      </w:r>
      <w:r w:rsidR="009C0CB9" w:rsidRPr="00572C8A">
        <w:t>levels</w:t>
      </w:r>
      <w:r w:rsidR="00667C95" w:rsidRPr="00572C8A">
        <w:t>. Importantly, during these epidemic levels of malaria transmission</w:t>
      </w:r>
      <w:r w:rsidR="00757B96" w:rsidRPr="00572C8A">
        <w:t xml:space="preserve"> in this area</w:t>
      </w:r>
      <w:r w:rsidR="00667C95" w:rsidRPr="00572C8A">
        <w:t>, fatalities rates can rise up to 10 times greater compared to areas where malaria</w:t>
      </w:r>
      <w:r w:rsidR="002E1738" w:rsidRPr="00572C8A">
        <w:t xml:space="preserve"> prevalence</w:t>
      </w:r>
      <w:r w:rsidR="00667C95" w:rsidRPr="00572C8A">
        <w:t xml:space="preserve"> is stable.</w:t>
      </w:r>
      <w:r w:rsidR="009F1379" w:rsidRPr="00572C8A">
        <w:rPr>
          <w:rStyle w:val="FootnoteReference"/>
        </w:rPr>
        <w:footnoteReference w:id="156"/>
      </w:r>
      <w:r w:rsidR="00F03647" w:rsidRPr="00572C8A">
        <w:t xml:space="preserve"> </w:t>
      </w:r>
    </w:p>
    <w:p w14:paraId="647BDDE6" w14:textId="7EFCBFDB" w:rsidR="00771832" w:rsidRPr="00572C8A" w:rsidRDefault="00771832" w:rsidP="00667C95"/>
    <w:p w14:paraId="415925B3" w14:textId="51779422" w:rsidR="00771832" w:rsidRDefault="00314662" w:rsidP="00667C95">
      <w:r w:rsidRPr="00572C8A">
        <w:t>Malaria contributed to 8.7% of deaths of children under-five in Kenya in 2019. In Kisii county specifically, malaria caused 12</w:t>
      </w:r>
      <w:r w:rsidR="00771832" w:rsidRPr="00572C8A">
        <w:t xml:space="preserve">.7% of deaths </w:t>
      </w:r>
      <w:r w:rsidRPr="00572C8A">
        <w:t>in 2019.</w:t>
      </w:r>
      <w:r w:rsidR="009F1379" w:rsidRPr="00572C8A">
        <w:rPr>
          <w:rStyle w:val="FootnoteReference"/>
        </w:rPr>
        <w:footnoteReference w:id="157"/>
      </w:r>
      <w:r w:rsidRPr="00572C8A">
        <w:t xml:space="preserve"> </w:t>
      </w:r>
      <w:r w:rsidR="00171ACB" w:rsidRPr="00572C8A">
        <w:t>At the time of the 2020 MIS, 6% of</w:t>
      </w:r>
      <w:r w:rsidR="00171ACB">
        <w:t xml:space="preserve"> </w:t>
      </w:r>
      <w:r w:rsidR="00171ACB" w:rsidRPr="00572C8A">
        <w:lastRenderedPageBreak/>
        <w:t>children aged 6 months to 14 years tested positive for malaria by microscopy. This is compared to 8% of children at the time of the 2015 MIS.</w:t>
      </w:r>
      <w:r w:rsidR="009F1379" w:rsidRPr="00572C8A">
        <w:rPr>
          <w:rStyle w:val="FootnoteReference"/>
        </w:rPr>
        <w:footnoteReference w:id="158"/>
      </w:r>
      <w:r w:rsidR="00171ACB" w:rsidRPr="00572C8A">
        <w:t xml:space="preserve"> Malaria prevalence among children was higher in rural areas (7%) compared to urban areas (3%). </w:t>
      </w:r>
      <w:r w:rsidR="00171ACB" w:rsidRPr="007F4109">
        <w:t>The lake endemic zone had the highest prevalence of malaria among children, at 19%, while the prevalence in the highland epidemic prone area was 1%.</w:t>
      </w:r>
      <w:r w:rsidR="009F1379" w:rsidRPr="007F4109">
        <w:rPr>
          <w:rStyle w:val="FootnoteReference"/>
        </w:rPr>
        <w:footnoteReference w:id="159"/>
      </w:r>
    </w:p>
    <w:p w14:paraId="56806D0B" w14:textId="62699A84" w:rsidR="009C0CB9" w:rsidRDefault="009C0CB9" w:rsidP="00667C95"/>
    <w:p w14:paraId="0859B00B" w14:textId="485C3AFA" w:rsidR="00314662" w:rsidRPr="00314662" w:rsidRDefault="00314662" w:rsidP="00667C95">
      <w:r>
        <w:rPr>
          <w:b/>
        </w:rPr>
        <w:t xml:space="preserve">Treatment. </w:t>
      </w:r>
      <w:r w:rsidR="002E1738" w:rsidRPr="00572C8A">
        <w:t>In Kenya, according to the Ministries of Health, t</w:t>
      </w:r>
      <w:r w:rsidR="00171ACB" w:rsidRPr="00572C8A">
        <w:t>he first line treatment with antimalarials for children under-five is artemether plus lumefantrine (AL), and the second line treatment is dihydroartemisinin plus piperaquine (DHAP).</w:t>
      </w:r>
      <w:r w:rsidR="009F1379" w:rsidRPr="00572C8A">
        <w:rPr>
          <w:rStyle w:val="FootnoteReference"/>
        </w:rPr>
        <w:footnoteReference w:id="160"/>
      </w:r>
      <w:r w:rsidR="00171ACB" w:rsidRPr="00572C8A">
        <w:t xml:space="preserve"> According to 2020 MIS data, of children with a fever in the 2 weeks before the survey </w:t>
      </w:r>
      <w:r w:rsidR="004E3256" w:rsidRPr="00572C8A">
        <w:t>63.6% sought medical advice and 15.5% of those with a fever took an antimalarial the same or next day.</w:t>
      </w:r>
      <w:r w:rsidR="009F1379" w:rsidRPr="00572C8A">
        <w:rPr>
          <w:rStyle w:val="FootnoteReference"/>
        </w:rPr>
        <w:footnoteReference w:id="161"/>
      </w:r>
      <w:r w:rsidR="004E3256" w:rsidRPr="00572C8A">
        <w:t xml:space="preserve"> Of the children who took an antimalarial, 82.3% received AL</w:t>
      </w:r>
      <w:r w:rsidR="00171ACB" w:rsidRPr="00572C8A">
        <w:t>, the recommended first-line treatment for malaria</w:t>
      </w:r>
      <w:r w:rsidR="00171ACB">
        <w:t>.</w:t>
      </w:r>
      <w:r w:rsidR="009F1379" w:rsidRPr="00682502">
        <w:rPr>
          <w:rStyle w:val="FootnoteReference"/>
        </w:rPr>
        <w:footnoteReference w:id="162"/>
      </w:r>
      <w:r w:rsidR="00757D57" w:rsidRPr="00314662">
        <w:t xml:space="preserve"> </w:t>
      </w:r>
    </w:p>
    <w:p w14:paraId="0EC62441" w14:textId="77777777" w:rsidR="00314662" w:rsidRDefault="00314662" w:rsidP="00667C95">
      <w:pPr>
        <w:rPr>
          <w:b/>
        </w:rPr>
      </w:pPr>
    </w:p>
    <w:p w14:paraId="27319D8B" w14:textId="7A16A000" w:rsidR="009C0CB9" w:rsidRPr="00572C8A" w:rsidRDefault="009C0CB9" w:rsidP="00667C95">
      <w:r>
        <w:rPr>
          <w:b/>
        </w:rPr>
        <w:t xml:space="preserve">Prevention. </w:t>
      </w:r>
      <w:r>
        <w:t xml:space="preserve">One </w:t>
      </w:r>
      <w:r w:rsidR="00F14C91">
        <w:t xml:space="preserve">key </w:t>
      </w:r>
      <w:r>
        <w:t xml:space="preserve">malaria prevention strategy is the use of </w:t>
      </w:r>
      <w:r w:rsidR="004E3256">
        <w:t xml:space="preserve">long-lasting </w:t>
      </w:r>
      <w:r>
        <w:t>insecticide treated nets</w:t>
      </w:r>
      <w:r w:rsidR="004E3256">
        <w:t xml:space="preserve"> (LLITNs)</w:t>
      </w:r>
      <w:r w:rsidR="00F14C91">
        <w:t>. These prevent malaria transmission</w:t>
      </w:r>
      <w:r>
        <w:t xml:space="preserve"> by reducing the occurrence of mosquito bites </w:t>
      </w:r>
      <w:r w:rsidR="004E3256">
        <w:t>by</w:t>
      </w:r>
      <w:r>
        <w:t xml:space="preserve"> killing mosquitos</w:t>
      </w:r>
      <w:r w:rsidR="004E3256">
        <w:t xml:space="preserve"> on contact with the net</w:t>
      </w:r>
      <w:r>
        <w:t>, reducing the total population of the malaria vector.</w:t>
      </w:r>
      <w:r w:rsidR="009F1379" w:rsidRPr="00682502">
        <w:rPr>
          <w:rStyle w:val="FootnoteReference"/>
        </w:rPr>
        <w:footnoteReference w:id="163"/>
      </w:r>
      <w:r>
        <w:t xml:space="preserve"> </w:t>
      </w:r>
      <w:r w:rsidRPr="00572C8A">
        <w:t xml:space="preserve">Mass distribution of these nets </w:t>
      </w:r>
      <w:r w:rsidR="004E3256" w:rsidRPr="00572C8A">
        <w:t xml:space="preserve">in Kenya </w:t>
      </w:r>
      <w:r w:rsidRPr="00572C8A">
        <w:t>occurs every 3 years in the 27 malaria-endemic, epidemic prone, and irrigation counties, with additional distribution occurring at antenatal care and child</w:t>
      </w:r>
      <w:r w:rsidR="00F14C91" w:rsidRPr="00572C8A">
        <w:t xml:space="preserve"> welfare clinics</w:t>
      </w:r>
      <w:r w:rsidRPr="00572C8A">
        <w:t>.</w:t>
      </w:r>
      <w:r w:rsidR="009F1379" w:rsidRPr="00572C8A">
        <w:rPr>
          <w:rStyle w:val="FootnoteReference"/>
        </w:rPr>
        <w:footnoteReference w:id="164"/>
      </w:r>
      <w:r w:rsidR="00F14C91" w:rsidRPr="00572C8A">
        <w:t xml:space="preserve"> At the time of the 2020 MIS, 49% of households had at least one insecticide treated net</w:t>
      </w:r>
      <w:r w:rsidR="0032580E" w:rsidRPr="00572C8A">
        <w:t xml:space="preserve"> (down from 63% in 2015)</w:t>
      </w:r>
      <w:r w:rsidR="00F14C91" w:rsidRPr="00572C8A">
        <w:t>, but only 29% of households had at least one net for every two people in the household</w:t>
      </w:r>
      <w:r w:rsidR="0032580E" w:rsidRPr="00572C8A">
        <w:t xml:space="preserve"> (down from 40% in 2015)</w:t>
      </w:r>
      <w:r w:rsidR="00F14C91" w:rsidRPr="00572C8A">
        <w:t>.</w:t>
      </w:r>
      <w:r w:rsidR="009F1379" w:rsidRPr="00572C8A">
        <w:rPr>
          <w:rStyle w:val="FootnoteReference"/>
        </w:rPr>
        <w:footnoteReference w:id="165"/>
      </w:r>
      <w:r w:rsidR="00F14C91" w:rsidRPr="00572C8A">
        <w:t xml:space="preserve"> </w:t>
      </w:r>
      <w:r w:rsidR="0032580E" w:rsidRPr="00572C8A">
        <w:t>In the highland epidemic prone region, where Kisii county is located, 65% of households had at least one treated net in 2020.</w:t>
      </w:r>
      <w:r w:rsidR="009F1379" w:rsidRPr="00572C8A">
        <w:rPr>
          <w:rStyle w:val="FootnoteReference"/>
        </w:rPr>
        <w:footnoteReference w:id="166"/>
      </w:r>
      <w:r w:rsidR="00705719" w:rsidRPr="00572C8A">
        <w:t xml:space="preserve"> </w:t>
      </w:r>
      <w:bookmarkStart w:id="2" w:name="_Hlk104957898"/>
      <w:r w:rsidR="00705719" w:rsidRPr="00572C8A">
        <w:t>Among children under-five living in the highland epidemic prone area, only 50% slept under a treated net the night before the survey</w:t>
      </w:r>
      <w:bookmarkEnd w:id="2"/>
      <w:r w:rsidR="00705719" w:rsidRPr="00572C8A">
        <w:t>. Additionally, in households with a treated net, only 71% of children slept under the net the previous night.</w:t>
      </w:r>
      <w:r w:rsidR="009F1379" w:rsidRPr="00572C8A">
        <w:rPr>
          <w:rStyle w:val="FootnoteReference"/>
        </w:rPr>
        <w:footnoteReference w:id="167"/>
      </w:r>
      <w:r w:rsidR="00757D57" w:rsidRPr="00572C8A">
        <w:t xml:space="preserve"> </w:t>
      </w:r>
      <w:r w:rsidR="00705719" w:rsidRPr="00572C8A">
        <w:t>Factors associated with a lower likelihood of under-five children sleeping under a treated net were: older age</w:t>
      </w:r>
      <w:r w:rsidR="004E3256" w:rsidRPr="00572C8A">
        <w:t xml:space="preserve"> of child</w:t>
      </w:r>
      <w:r w:rsidR="00705719" w:rsidRPr="00572C8A">
        <w:t>, living in a rural area, and a lower household income.</w:t>
      </w:r>
      <w:r w:rsidR="009F1379" w:rsidRPr="00572C8A">
        <w:rPr>
          <w:rStyle w:val="FootnoteReference"/>
        </w:rPr>
        <w:footnoteReference w:id="168"/>
      </w:r>
      <w:r w:rsidR="00757D57" w:rsidRPr="00572C8A">
        <w:t xml:space="preserve"> </w:t>
      </w:r>
    </w:p>
    <w:p w14:paraId="03E0C0DF" w14:textId="6053E707" w:rsidR="00705719" w:rsidRPr="00572C8A" w:rsidRDefault="00705719" w:rsidP="00667C95"/>
    <w:p w14:paraId="34A0174A" w14:textId="20F34EF3" w:rsidR="005A10EE" w:rsidRDefault="00771832" w:rsidP="00667C95">
      <w:r w:rsidRPr="00572C8A">
        <w:rPr>
          <w:b/>
        </w:rPr>
        <w:t xml:space="preserve">Barriers to use of insecticide treated nets. </w:t>
      </w:r>
      <w:r w:rsidR="005E1457" w:rsidRPr="00572C8A">
        <w:t>Among people who owned insecticide treated nets but did not use them, reasons</w:t>
      </w:r>
      <w:r w:rsidR="00705719" w:rsidRPr="00572C8A">
        <w:t xml:space="preserve"> listed for not using the nets in the highland epidemic prone area included: </w:t>
      </w:r>
      <w:r w:rsidR="00CD75D1" w:rsidRPr="00572C8A">
        <w:t xml:space="preserve">no mosquitos/no malaria (8.2%), </w:t>
      </w:r>
      <w:r w:rsidR="00705719" w:rsidRPr="00572C8A">
        <w:t>being unable to hang the net (4.6%</w:t>
      </w:r>
      <w:r w:rsidR="009F1379" w:rsidRPr="00572C8A">
        <w:t>)</w:t>
      </w:r>
      <w:r w:rsidR="00705719" w:rsidRPr="00572C8A">
        <w:t>, sleeping outdoors (1.9%)</w:t>
      </w:r>
      <w:r w:rsidR="00CD75D1" w:rsidRPr="00572C8A">
        <w:t>, or the net was too hot/wrong size/bad smell (1.9%).</w:t>
      </w:r>
      <w:r w:rsidR="009F1379" w:rsidRPr="00572C8A">
        <w:rPr>
          <w:rStyle w:val="FootnoteReference"/>
        </w:rPr>
        <w:footnoteReference w:id="169"/>
      </w:r>
      <w:r w:rsidR="00A54F32" w:rsidRPr="00572C8A">
        <w:t xml:space="preserve"> A 2010 study </w:t>
      </w:r>
      <w:r w:rsidR="00A54F32" w:rsidRPr="00800263">
        <w:lastRenderedPageBreak/>
        <w:t>conducted in the poorest regions of Kenya cited affordability as the primary barrier</w:t>
      </w:r>
      <w:r w:rsidR="005A10EE" w:rsidRPr="00800263">
        <w:t>, even after implementation of mass distribution campaigns (costs related to travel, work lost due to travel time)</w:t>
      </w:r>
      <w:r w:rsidR="00A54F32" w:rsidRPr="00800263">
        <w:t>.</w:t>
      </w:r>
      <w:r w:rsidR="009F1379" w:rsidRPr="00800263">
        <w:rPr>
          <w:rStyle w:val="FootnoteReference"/>
        </w:rPr>
        <w:footnoteReference w:id="170"/>
      </w:r>
      <w:r w:rsidR="00A54F32" w:rsidRPr="00800263">
        <w:t xml:space="preserve"> </w:t>
      </w:r>
      <w:r w:rsidR="005A10EE" w:rsidRPr="00800263">
        <w:t xml:space="preserve">Another barrier was a </w:t>
      </w:r>
      <w:r w:rsidR="00A54F32" w:rsidRPr="00800263">
        <w:t>mismatch between the type of nets supplied and the type of net community members preferred</w:t>
      </w:r>
      <w:r w:rsidR="005A10EE" w:rsidRPr="00800263">
        <w:t>. Specifically, there was a preference for ‘non-white’ nets, as the white nets easily became dirty, and were considered to be associated with misfortunes and bad dreams.</w:t>
      </w:r>
      <w:r w:rsidR="009F1379" w:rsidRPr="00800263">
        <w:rPr>
          <w:rStyle w:val="FootnoteReference"/>
        </w:rPr>
        <w:footnoteReference w:id="171"/>
      </w:r>
      <w:r w:rsidR="005A10EE" w:rsidRPr="00800263">
        <w:t xml:space="preserve"> Additionally, distrust in the agencies distributing nets was a barrier. This mistrust was exacerbated by the targeting of interventions toward pregnant women and young children, as there were inadequate explanations for why these interventions were being targeted towards these populations.</w:t>
      </w:r>
      <w:r w:rsidR="009F1379" w:rsidRPr="00800263">
        <w:rPr>
          <w:rStyle w:val="FootnoteReference"/>
        </w:rPr>
        <w:footnoteReference w:id="172"/>
      </w:r>
      <w:r w:rsidR="005A10EE" w:rsidRPr="00800263">
        <w:t xml:space="preserve"> Finally, perceptions and beliefs on causes of illnesses, lack of health education </w:t>
      </w:r>
      <w:r w:rsidR="006A59F1" w:rsidRPr="00800263">
        <w:t>targeting men (who were at times the primary decision makers in the household), and insufficient size of nets to cover all children in the household were additional barriers.</w:t>
      </w:r>
      <w:r w:rsidR="009F1379" w:rsidRPr="00800263">
        <w:rPr>
          <w:rStyle w:val="FootnoteReference"/>
        </w:rPr>
        <w:footnoteReference w:id="173"/>
      </w:r>
      <w:r w:rsidR="00757D57">
        <w:t xml:space="preserve"> </w:t>
      </w:r>
    </w:p>
    <w:p w14:paraId="4409441D" w14:textId="77182797" w:rsidR="00677B20" w:rsidRDefault="00677B20" w:rsidP="00677B20"/>
    <w:p w14:paraId="2A96DADC" w14:textId="7D4D10BA" w:rsidR="002E1738" w:rsidRPr="002E1738" w:rsidRDefault="009D3FFB" w:rsidP="00677B20">
      <w:pPr>
        <w:rPr>
          <w:b/>
        </w:rPr>
      </w:pPr>
      <w:r>
        <w:rPr>
          <w:b/>
        </w:rPr>
        <w:t>Immunizations.</w:t>
      </w:r>
    </w:p>
    <w:p w14:paraId="395E2DDF" w14:textId="77777777" w:rsidR="002E1738" w:rsidRDefault="002E1738" w:rsidP="00677B20"/>
    <w:p w14:paraId="74B3C323" w14:textId="62A35504" w:rsidR="00677B20" w:rsidRDefault="00677B20" w:rsidP="00677B20">
      <w:r w:rsidRPr="001A5B90">
        <w:t xml:space="preserve">Vaccination is an essential component of reducing childhood morbidity and mortality from a variety of causes. </w:t>
      </w:r>
      <w:r>
        <w:t>I</w:t>
      </w:r>
      <w:r w:rsidRPr="001A5B90">
        <w:t xml:space="preserve">mportant childhood vaccines include those for tuberculosis, diptheria, pertussis (whooping cough), tetanus, polio, measles, hepatitis B, </w:t>
      </w:r>
      <w:r w:rsidRPr="001A5B90">
        <w:rPr>
          <w:i/>
        </w:rPr>
        <w:t>Haemophilus influenza</w:t>
      </w:r>
      <w:r w:rsidRPr="001A5B90">
        <w:t xml:space="preserve"> type b (Hib), and </w:t>
      </w:r>
      <w:r w:rsidRPr="001A5B90">
        <w:rPr>
          <w:i/>
        </w:rPr>
        <w:t>Streptococcus pneumoniae</w:t>
      </w:r>
      <w:r w:rsidRPr="001A5B90">
        <w:t xml:space="preserve"> (pneumococcal vaccine).</w:t>
      </w:r>
      <w:r w:rsidR="009F1379" w:rsidRPr="00682502">
        <w:rPr>
          <w:rStyle w:val="FootnoteReference"/>
        </w:rPr>
        <w:footnoteReference w:id="174"/>
      </w:r>
      <w:r w:rsidRPr="001A5B90">
        <w:t xml:space="preserve"> A</w:t>
      </w:r>
      <w:r>
        <w:t>s of 2014, a</w:t>
      </w:r>
      <w:r w:rsidRPr="001A5B90">
        <w:t>mong children age 12-23 months in 2014, 75% were fully vaccinated (completed DPT-HepB-Hib, polio, measles, and 3 pneumococcal doses</w:t>
      </w:r>
      <w:r>
        <w:t>)</w:t>
      </w:r>
      <w:r w:rsidRPr="001A5B90">
        <w:t>.</w:t>
      </w:r>
      <w:r w:rsidR="009F1379" w:rsidRPr="00682502">
        <w:rPr>
          <w:rStyle w:val="FootnoteReference"/>
        </w:rPr>
        <w:footnoteReference w:id="175"/>
      </w:r>
      <w:r w:rsidRPr="001A5B90">
        <w:t xml:space="preserve"> Dropout rates (the proportion of children who do not complete subsequent doses of a vaccine after receiving first dose) for polio, DPT-HepB-Hib, and pneumococcal vaccine ranged from 8-9%. Lower rates of immunizations were correlated with higher birth order, lower maternal education, and lower household wealth.</w:t>
      </w:r>
      <w:r w:rsidR="009F1379" w:rsidRPr="00682502">
        <w:rPr>
          <w:rStyle w:val="FootnoteReference"/>
        </w:rPr>
        <w:footnoteReference w:id="176"/>
      </w:r>
      <w:r w:rsidRPr="001A5B90">
        <w:t xml:space="preserve"> In Kisii county in 2014, 82% of children were fully vaccinated</w:t>
      </w:r>
      <w:r>
        <w:t xml:space="preserve"> in 2014.</w:t>
      </w:r>
      <w:r w:rsidR="00513DBC">
        <w:t xml:space="preserve"> According to 2017 data from the Kisii county knowledge practice </w:t>
      </w:r>
      <w:r w:rsidR="000D6E60">
        <w:t xml:space="preserve">and coverage </w:t>
      </w:r>
      <w:r w:rsidR="00513DBC">
        <w:t>survey, 94.3% of children over one year old had completed the full Ministries of Health required immunization regimen.</w:t>
      </w:r>
      <w:r w:rsidR="009F1379" w:rsidRPr="00682502">
        <w:rPr>
          <w:rStyle w:val="FootnoteReference"/>
        </w:rPr>
        <w:footnoteReference w:id="177"/>
      </w:r>
      <w:r w:rsidR="00757D57">
        <w:t xml:space="preserve"> </w:t>
      </w:r>
    </w:p>
    <w:p w14:paraId="6C310A00" w14:textId="305999E3" w:rsidR="001F452A" w:rsidRDefault="001F452A" w:rsidP="00677B20"/>
    <w:p w14:paraId="313961D7" w14:textId="66E000DB" w:rsidR="001F452A" w:rsidRDefault="001F452A" w:rsidP="001F452A">
      <w:r>
        <w:t>Researchers conducted a series of interviews in Bobasi sub-county, part of Kisii county in Kenya, to identify barriers to routine immunization among children in this area.</w:t>
      </w:r>
      <w:r w:rsidR="009F1379" w:rsidRPr="00682502">
        <w:rPr>
          <w:rStyle w:val="FootnoteReference"/>
        </w:rPr>
        <w:footnoteReference w:id="178"/>
      </w:r>
      <w:r>
        <w:t xml:space="preserve"> Researchers conducted interviews with both caregivers and healthcare workers in this area. Commonly identified barriers identified by caregivers included health facility staff’s bad attitude or </w:t>
      </w:r>
      <w:r>
        <w:lastRenderedPageBreak/>
        <w:t>practice, concerns about going to a clinic where there may be other sick people, and believing herbal interventions are better than hospital-based interventions.</w:t>
      </w:r>
      <w:r w:rsidR="009F1379" w:rsidRPr="00682502">
        <w:rPr>
          <w:rStyle w:val="FootnoteReference"/>
        </w:rPr>
        <w:footnoteReference w:id="179"/>
      </w:r>
      <w:r>
        <w:t xml:space="preserve"> Healthcare workers identified the following barriers: bad roads or rain limiting access to health facility, caregivers not knowing when vaccination is due, health facility understaffing, and vaccine not available.</w:t>
      </w:r>
      <w:r w:rsidR="009F1379" w:rsidRPr="00682502">
        <w:rPr>
          <w:rStyle w:val="FootnoteReference"/>
        </w:rPr>
        <w:footnoteReference w:id="180"/>
      </w:r>
      <w:r w:rsidR="00757D57">
        <w:t xml:space="preserve"> </w:t>
      </w:r>
    </w:p>
    <w:p w14:paraId="3D1F2CE6" w14:textId="77777777" w:rsidR="00F32524" w:rsidRPr="001A5B90" w:rsidRDefault="00F32524" w:rsidP="00677B20"/>
    <w:p w14:paraId="351552A5" w14:textId="7EDA0F8E" w:rsidR="00421CD0" w:rsidRPr="001A5B90" w:rsidRDefault="00421CD0" w:rsidP="00421CD0"/>
    <w:p w14:paraId="0E93C3EF" w14:textId="1B5D5EB9" w:rsidR="00421CD0" w:rsidRPr="009D3FFB" w:rsidRDefault="00421CD0" w:rsidP="00421CD0">
      <w:pPr>
        <w:rPr>
          <w:b/>
          <w:u w:val="single"/>
        </w:rPr>
      </w:pPr>
      <w:r w:rsidRPr="009D3FFB">
        <w:rPr>
          <w:b/>
          <w:u w:val="single"/>
        </w:rPr>
        <w:t>Health focus #3: Nutrition across life stages</w:t>
      </w:r>
      <w:r w:rsidR="00270B83" w:rsidRPr="009D3FFB">
        <w:rPr>
          <w:b/>
          <w:u w:val="single"/>
        </w:rPr>
        <w:t xml:space="preserve"> </w:t>
      </w:r>
    </w:p>
    <w:p w14:paraId="1DC8D6C6" w14:textId="0D616C92" w:rsidR="0017290B" w:rsidRDefault="0017290B" w:rsidP="009D3FFB">
      <w:pPr>
        <w:rPr>
          <w:b/>
        </w:rPr>
      </w:pPr>
    </w:p>
    <w:p w14:paraId="6D8ECF77" w14:textId="2F427640" w:rsidR="00F03C75" w:rsidRDefault="00F03C75" w:rsidP="009D3FFB">
      <w:pPr>
        <w:rPr>
          <w:b/>
        </w:rPr>
      </w:pPr>
      <w:r>
        <w:rPr>
          <w:b/>
        </w:rPr>
        <w:t>Child Nutrition.</w:t>
      </w:r>
    </w:p>
    <w:p w14:paraId="6989EE0B" w14:textId="77777777" w:rsidR="00F03C75" w:rsidRPr="009D3FFB" w:rsidRDefault="00F03C75" w:rsidP="009D3FFB">
      <w:pPr>
        <w:rPr>
          <w:b/>
        </w:rPr>
      </w:pPr>
    </w:p>
    <w:p w14:paraId="198A8AF4" w14:textId="665FAB56" w:rsidR="0017290B" w:rsidRPr="00F03C75" w:rsidRDefault="0017290B" w:rsidP="0017290B">
      <w:pPr>
        <w:rPr>
          <w:b/>
        </w:rPr>
      </w:pPr>
      <w:r w:rsidRPr="001A5B90">
        <w:rPr>
          <w:b/>
        </w:rPr>
        <w:t>Malnutrition- causes, consequences, and general trends</w:t>
      </w:r>
      <w:r w:rsidR="00F03C75">
        <w:rPr>
          <w:b/>
        </w:rPr>
        <w:t xml:space="preserve">. </w:t>
      </w:r>
      <w:r w:rsidRPr="001A5B90">
        <w:t>In 2019, child and maternal malnutrition accounted for 11.6% of disability-adjusted life-years (DALYs) globally.</w:t>
      </w:r>
      <w:r w:rsidR="009F1379" w:rsidRPr="00682502">
        <w:rPr>
          <w:rStyle w:val="FootnoteReference"/>
        </w:rPr>
        <w:footnoteReference w:id="181"/>
      </w:r>
      <w:r w:rsidRPr="001A5B90">
        <w:t xml:space="preserve"> While this is a global problem, child and maternal malnutrition contribute disproportionately to poor health outcomes in certain regions of the world. For example, greater than 20% of DALYs in western, central, and eastern sub-Saharan African regions are due to child and maternal malnutrition.</w:t>
      </w:r>
      <w:r w:rsidR="009F1379" w:rsidRPr="00682502">
        <w:rPr>
          <w:rStyle w:val="FootnoteReference"/>
        </w:rPr>
        <w:footnoteReference w:id="182"/>
      </w:r>
      <w:r w:rsidR="00757D57" w:rsidRPr="00F03C75">
        <w:rPr>
          <w:b/>
        </w:rPr>
        <w:t xml:space="preserve"> </w:t>
      </w:r>
    </w:p>
    <w:p w14:paraId="73015FD2" w14:textId="77777777" w:rsidR="0017290B" w:rsidRPr="001A5B90" w:rsidRDefault="0017290B" w:rsidP="0017290B"/>
    <w:p w14:paraId="16C5E970" w14:textId="2B0D9878" w:rsidR="0017290B" w:rsidRPr="001A5B90" w:rsidRDefault="0017290B" w:rsidP="0017290B">
      <w:r w:rsidRPr="001A5B90">
        <w:t>Stunting is one form of malnutrition. Stunting results from chronic or recurrent malnutrition, and is determined by height-for-age measurements more than 2 standard deviations below the median.</w:t>
      </w:r>
      <w:r w:rsidR="009F1379" w:rsidRPr="00682502">
        <w:rPr>
          <w:rStyle w:val="FootnoteReference"/>
        </w:rPr>
        <w:footnoteReference w:id="183"/>
      </w:r>
      <w:r w:rsidR="009F1379">
        <w:rPr>
          <w:vertAlign w:val="superscript"/>
        </w:rPr>
        <w:t>,</w:t>
      </w:r>
      <w:r w:rsidR="009F1379" w:rsidRPr="00682502">
        <w:rPr>
          <w:rStyle w:val="FootnoteReference"/>
        </w:rPr>
        <w:footnoteReference w:id="184"/>
      </w:r>
      <w:r w:rsidRPr="001A5B90">
        <w:t xml:space="preserve"> Stunting indicates the failure of a child to grow physically and mentally, and can have significant implications for future health complications and poor outcomes.</w:t>
      </w:r>
      <w:r w:rsidR="009F1379" w:rsidRPr="00682502">
        <w:rPr>
          <w:rStyle w:val="FootnoteReference"/>
        </w:rPr>
        <w:footnoteReference w:id="185"/>
      </w:r>
      <w:r w:rsidR="009F1379">
        <w:rPr>
          <w:vertAlign w:val="superscript"/>
        </w:rPr>
        <w:t>,</w:t>
      </w:r>
      <w:r w:rsidR="009F1379" w:rsidRPr="00682502">
        <w:rPr>
          <w:rStyle w:val="FootnoteReference"/>
        </w:rPr>
        <w:footnoteReference w:id="186"/>
      </w:r>
      <w:r w:rsidR="00757D57" w:rsidRPr="001A5B90">
        <w:t xml:space="preserve"> </w:t>
      </w:r>
      <w:r w:rsidRPr="001A5B90">
        <w:t>Other forms of malnutrition include wasting, determined by a weight-for-height measurements, and underweight, determined by a weight-for-age measurements. Wasting is a sign of recent weight loss, often a result of a sudden food shortage or disease.</w:t>
      </w:r>
      <w:r w:rsidR="009F1379" w:rsidRPr="00682502">
        <w:rPr>
          <w:rStyle w:val="FootnoteReference"/>
        </w:rPr>
        <w:footnoteReference w:id="187"/>
      </w:r>
      <w:r w:rsidRPr="001A5B90">
        <w:t xml:space="preserve"> These forms of malnutrition can have a variety of effects on health outcomes, such as contributing to poor development and learning, higher risk for infections and other diseases (e.g. diabetes, hypertension, dyslipidemia), lowered working capacity, and poor maternal reproductive outcomes.</w:t>
      </w:r>
      <w:r w:rsidR="009F1379" w:rsidRPr="00682502">
        <w:rPr>
          <w:rStyle w:val="FootnoteReference"/>
        </w:rPr>
        <w:footnoteReference w:id="188"/>
      </w:r>
      <w:r w:rsidRPr="001A5B90">
        <w:t xml:space="preserve"> One </w:t>
      </w:r>
      <w:r w:rsidRPr="001A5B90">
        <w:lastRenderedPageBreak/>
        <w:t>study have identified that those who suffer from stunting and wasting were over 9 times more likely to die, compared to children without stunting or wasting.</w:t>
      </w:r>
      <w:r w:rsidR="009F1379" w:rsidRPr="00682502">
        <w:rPr>
          <w:rStyle w:val="FootnoteReference"/>
        </w:rPr>
        <w:footnoteReference w:id="189"/>
      </w:r>
      <w:r w:rsidR="00757D57" w:rsidRPr="001A5B90">
        <w:t xml:space="preserve"> </w:t>
      </w:r>
    </w:p>
    <w:p w14:paraId="419921C3" w14:textId="77777777" w:rsidR="0017290B" w:rsidRPr="001A5B90" w:rsidRDefault="0017290B" w:rsidP="0017290B"/>
    <w:p w14:paraId="29F702F1" w14:textId="36D80B46" w:rsidR="0017290B" w:rsidRPr="00F03C75" w:rsidRDefault="0017290B" w:rsidP="0017290B">
      <w:r w:rsidRPr="001A5B90">
        <w:t>Globally, stunting in children under 5 years has declined from 33.1% in 2000 to 22.0% in 2020. In Eastern Africa, where Kenya is located, stunting rates have declined from 49.1% in 2000, but have remained high, at 32.6% in 2020.</w:t>
      </w:r>
      <w:r w:rsidR="009F1379" w:rsidRPr="00682502">
        <w:rPr>
          <w:rStyle w:val="FootnoteReference"/>
        </w:rPr>
        <w:footnoteReference w:id="190"/>
      </w:r>
      <w:r w:rsidRPr="001A5B90">
        <w:t xml:space="preserve"> As of 2014, stunting rates in Kenya specifically were at 26%. </w:t>
      </w:r>
    </w:p>
    <w:p w14:paraId="411DCCB4" w14:textId="77777777" w:rsidR="00F03C75" w:rsidRPr="001A5B90" w:rsidRDefault="00F03C75" w:rsidP="0017290B">
      <w:pPr>
        <w:rPr>
          <w:b/>
        </w:rPr>
      </w:pPr>
    </w:p>
    <w:p w14:paraId="04389825" w14:textId="5ECE9932" w:rsidR="0017290B" w:rsidRPr="001A5B90" w:rsidRDefault="0017290B" w:rsidP="0017290B">
      <w:r w:rsidRPr="001A5B90">
        <w:rPr>
          <w:b/>
        </w:rPr>
        <w:t xml:space="preserve">Stunting (low height-for-age). </w:t>
      </w:r>
      <w:r w:rsidRPr="001A5B90">
        <w:t>Kenya completed their most recent Demographic and Health Survey (DHS) in 2014 (of note, a 2022 Kenya DHS is currently ongoing). At that time, 26% of children under 5 were stunted and 8% were severely stunted.</w:t>
      </w:r>
      <w:r w:rsidR="009F1379" w:rsidRPr="00682502">
        <w:rPr>
          <w:rStyle w:val="FootnoteReference"/>
        </w:rPr>
        <w:footnoteReference w:id="191"/>
      </w:r>
      <w:r w:rsidRPr="001A5B90">
        <w:t xml:space="preserve"> When broken down by age group, Kenya’s stunting rates were as follows: 10% of children &lt;6 months; 12% of children 6-8 months; 17% of children 9-11 months; 27% of children 12-17 months; 36% of children 18-23 months old; 34% of children 24-35 months old; 29% of children 36-47 months; and 23% of children 48-59 months. Factors associated with higher rates of stunting included: male sex; being small at birth; living in rural areas; lower education of mother; and lower household wealth.</w:t>
      </w:r>
      <w:r w:rsidR="008E7790" w:rsidRPr="00682502">
        <w:rPr>
          <w:rStyle w:val="FootnoteReference"/>
        </w:rPr>
        <w:footnoteReference w:id="192"/>
      </w:r>
      <w:r w:rsidRPr="001A5B90">
        <w:t xml:space="preserve"> </w:t>
      </w:r>
      <w:r w:rsidR="00BB34AB" w:rsidRPr="001A5B90">
        <w:t xml:space="preserve">According to the </w:t>
      </w:r>
      <w:r w:rsidR="00BB34AB" w:rsidRPr="001A5B90">
        <w:rPr>
          <w:rFonts w:ascii="Calibri" w:hAnsi="Calibri" w:cs="Calibri"/>
          <w:noProof/>
        </w:rPr>
        <w:t xml:space="preserve">Institute for Health Metrics and Evaluation (IHME), </w:t>
      </w:r>
      <w:r w:rsidR="00591CDD" w:rsidRPr="001A5B90">
        <w:t xml:space="preserve">the </w:t>
      </w:r>
      <w:r w:rsidR="00BB34AB" w:rsidRPr="001A5B90">
        <w:t>prevalence</w:t>
      </w:r>
      <w:r w:rsidR="00591CDD" w:rsidRPr="001A5B90">
        <w:t xml:space="preserve"> of child stunting</w:t>
      </w:r>
      <w:r w:rsidR="00BB34AB" w:rsidRPr="001A5B90">
        <w:t xml:space="preserve"> (&lt;5)</w:t>
      </w:r>
      <w:r w:rsidR="00591CDD" w:rsidRPr="001A5B90">
        <w:t xml:space="preserve"> in Kenya </w:t>
      </w:r>
      <w:r w:rsidR="00BB34AB" w:rsidRPr="001A5B90">
        <w:t>was estimated to be 30.8% in 2019</w:t>
      </w:r>
      <w:r w:rsidR="00591CDD" w:rsidRPr="001A5B90">
        <w:t>.</w:t>
      </w:r>
      <w:r w:rsidR="008E7790" w:rsidRPr="00682502">
        <w:rPr>
          <w:rStyle w:val="FootnoteReference"/>
        </w:rPr>
        <w:footnoteReference w:id="193"/>
      </w:r>
      <w:r w:rsidR="00BB34AB" w:rsidRPr="001A5B90">
        <w:t xml:space="preserve"> This is compared to IHME estimates of 31.3% for 2014 in Kenya.</w:t>
      </w:r>
      <w:r w:rsidR="008E7790" w:rsidRPr="00682502">
        <w:rPr>
          <w:rStyle w:val="FootnoteReference"/>
        </w:rPr>
        <w:footnoteReference w:id="194"/>
      </w:r>
      <w:r w:rsidR="00757D57" w:rsidRPr="001A5B90">
        <w:t xml:space="preserve"> </w:t>
      </w:r>
    </w:p>
    <w:p w14:paraId="0A316696" w14:textId="77777777" w:rsidR="0017290B" w:rsidRPr="001A5B90" w:rsidRDefault="0017290B" w:rsidP="0017290B"/>
    <w:p w14:paraId="2439433D" w14:textId="2A0D025F" w:rsidR="0017290B" w:rsidRPr="001A5B90" w:rsidRDefault="0017290B" w:rsidP="0017290B">
      <w:r w:rsidRPr="001A5B90">
        <w:rPr>
          <w:b/>
        </w:rPr>
        <w:t xml:space="preserve">Wasting (low weight-for height). </w:t>
      </w:r>
      <w:r w:rsidRPr="001A5B90">
        <w:t>According to 2014 DHS data, 4% of children living in Kenya are wasted, and 1% are severely wasted. Wasting levels were highest in those &lt;2 years old, with the following rates: 4% of children &lt;6 months; 7% of children 6-8 months, 7% of children 9-11 months; 6% of children 12-17 months; and 4.7% of children 18-23 months.</w:t>
      </w:r>
      <w:r w:rsidR="008E7790" w:rsidRPr="00682502">
        <w:rPr>
          <w:rStyle w:val="FootnoteReference"/>
        </w:rPr>
        <w:footnoteReference w:id="195"/>
      </w:r>
      <w:r w:rsidRPr="001A5B90">
        <w:t xml:space="preserve"> Wasting rates were higher among children whose mothers had BMI &lt; 18.5 kg/m</w:t>
      </w:r>
      <w:r w:rsidRPr="001A5B90">
        <w:rPr>
          <w:vertAlign w:val="superscript"/>
        </w:rPr>
        <w:t>2</w:t>
      </w:r>
      <w:r w:rsidRPr="001A5B90">
        <w:t>; lower education of mother; and lower household wealth. Wasting rates were highest in the North Eastern region of Kenya, at 13%.</w:t>
      </w:r>
      <w:r w:rsidR="008E7790" w:rsidRPr="00682502">
        <w:rPr>
          <w:rStyle w:val="FootnoteReference"/>
        </w:rPr>
        <w:footnoteReference w:id="196"/>
      </w:r>
      <w:r w:rsidR="00591CDD" w:rsidRPr="001A5B90">
        <w:t xml:space="preserve"> More recent measurements </w:t>
      </w:r>
      <w:r w:rsidR="00BB34AB" w:rsidRPr="001A5B90">
        <w:t xml:space="preserve">from the IHME </w:t>
      </w:r>
      <w:r w:rsidR="00591CDD" w:rsidRPr="001A5B90">
        <w:t>estimated the rate of child wasting in Kenya in 201</w:t>
      </w:r>
      <w:r w:rsidR="00BB34AB" w:rsidRPr="001A5B90">
        <w:t>9</w:t>
      </w:r>
      <w:r w:rsidR="00591CDD" w:rsidRPr="001A5B90">
        <w:t xml:space="preserve"> to be at </w:t>
      </w:r>
      <w:r w:rsidR="00BB34AB" w:rsidRPr="001A5B90">
        <w:t>7.4</w:t>
      </w:r>
      <w:r w:rsidR="00591CDD" w:rsidRPr="001A5B90">
        <w:t>%.</w:t>
      </w:r>
      <w:r w:rsidR="008E7790" w:rsidRPr="00682502">
        <w:rPr>
          <w:rStyle w:val="FootnoteReference"/>
        </w:rPr>
        <w:footnoteReference w:id="197"/>
      </w:r>
    </w:p>
    <w:p w14:paraId="43D53E39" w14:textId="77777777" w:rsidR="0017290B" w:rsidRPr="001A5B90" w:rsidRDefault="0017290B" w:rsidP="0017290B"/>
    <w:p w14:paraId="66C0D9FC" w14:textId="71679211" w:rsidR="0017290B" w:rsidRPr="001A5B90" w:rsidRDefault="0017290B" w:rsidP="0017290B">
      <w:r w:rsidRPr="001A5B90">
        <w:rPr>
          <w:b/>
        </w:rPr>
        <w:lastRenderedPageBreak/>
        <w:t xml:space="preserve">Underweight (low weight-for-age). </w:t>
      </w:r>
      <w:r w:rsidR="00BB34AB" w:rsidRPr="001A5B90">
        <w:t xml:space="preserve">According to </w:t>
      </w:r>
      <w:r w:rsidRPr="001A5B90">
        <w:t>DHS data from 2014</w:t>
      </w:r>
      <w:r w:rsidR="00BB34AB" w:rsidRPr="001A5B90">
        <w:t>,</w:t>
      </w:r>
      <w:r w:rsidRPr="001A5B90">
        <w:t xml:space="preserve"> 11% of children living in Kenya were underweight, and 2% were severely underweight. Factors associated with higher rates of underweight children included: male sex; mother with BMI &lt; 18.5 kg/m</w:t>
      </w:r>
      <w:r w:rsidRPr="001A5B90">
        <w:rPr>
          <w:vertAlign w:val="superscript"/>
        </w:rPr>
        <w:t>2</w:t>
      </w:r>
      <w:r w:rsidRPr="001A5B90">
        <w:t>; living in rural area; lower education of mother; and lower household wealth.</w:t>
      </w:r>
      <w:r w:rsidR="008E7790" w:rsidRPr="00682502">
        <w:rPr>
          <w:rStyle w:val="FootnoteReference"/>
        </w:rPr>
        <w:footnoteReference w:id="198"/>
      </w:r>
      <w:r w:rsidR="00757D57" w:rsidRPr="001A5B90">
        <w:t xml:space="preserve"> </w:t>
      </w:r>
    </w:p>
    <w:p w14:paraId="0F778B1E" w14:textId="77777777" w:rsidR="0017290B" w:rsidRPr="001A5B90" w:rsidRDefault="0017290B" w:rsidP="0017290B"/>
    <w:p w14:paraId="7820A6F5" w14:textId="3E315F6D" w:rsidR="0017290B" w:rsidRDefault="0017290B" w:rsidP="0017290B">
      <w:r w:rsidRPr="001A5B90">
        <w:rPr>
          <w:b/>
        </w:rPr>
        <w:t xml:space="preserve">Kisii County. </w:t>
      </w:r>
      <w:r w:rsidR="00BB34AB" w:rsidRPr="001A5B90">
        <w:t xml:space="preserve">According to DHS data, </w:t>
      </w:r>
      <w:r w:rsidRPr="001A5B90">
        <w:t xml:space="preserve">26% of children were stunted, 1.7% were wasted; and 8.4% were underweight in </w:t>
      </w:r>
      <w:r w:rsidR="00BB34AB" w:rsidRPr="001A5B90">
        <w:t xml:space="preserve">Kisii county in </w:t>
      </w:r>
      <w:r w:rsidRPr="001A5B90">
        <w:t>2014.</w:t>
      </w:r>
      <w:r w:rsidR="008E7790" w:rsidRPr="00682502">
        <w:rPr>
          <w:rStyle w:val="FootnoteReference"/>
        </w:rPr>
        <w:footnoteReference w:id="199"/>
      </w:r>
      <w:r w:rsidRPr="001A5B90">
        <w:t xml:space="preserve"> </w:t>
      </w:r>
      <w:r w:rsidR="001902F9" w:rsidRPr="001A5B90">
        <w:t>This represents no change from 2011, when stunting rates of children &lt;5 were also measured at 26% in Kisii county.</w:t>
      </w:r>
      <w:r w:rsidR="008E7790" w:rsidRPr="00682502">
        <w:rPr>
          <w:rStyle w:val="FootnoteReference"/>
        </w:rPr>
        <w:footnoteReference w:id="200"/>
      </w:r>
      <w:r w:rsidR="001902F9" w:rsidRPr="001A5B90">
        <w:t xml:space="preserve"> </w:t>
      </w:r>
      <w:r w:rsidR="00BB34AB" w:rsidRPr="001A5B90">
        <w:t>Data from the Kisii county Department of Health showed that a</w:t>
      </w:r>
      <w:r w:rsidRPr="001A5B90">
        <w:t>s of 2015-2016, there were 123 stunted under 5 children in Kisii county, which then rose to 848 stunted children under 5 in 2016-2017.</w:t>
      </w:r>
      <w:r w:rsidR="008E7790" w:rsidRPr="00682502">
        <w:rPr>
          <w:rStyle w:val="FootnoteReference"/>
        </w:rPr>
        <w:footnoteReference w:id="201"/>
      </w:r>
      <w:r w:rsidR="00757D57">
        <w:t xml:space="preserve"> </w:t>
      </w:r>
      <w:r w:rsidR="00757D57" w:rsidRPr="001A5B90">
        <w:t xml:space="preserve"> </w:t>
      </w:r>
      <w:r w:rsidR="00BB34AB" w:rsidRPr="001A5B90">
        <w:t xml:space="preserve">Estimates from the IHME showed </w:t>
      </w:r>
      <w:r w:rsidRPr="001A5B90">
        <w:t>protein energy malnutrition (a form of malnutrition that can lead to stunting, wasting, or underweight) caused around 37 deaths and contributed to 3,322 DALYs</w:t>
      </w:r>
      <w:r w:rsidR="00BB34AB" w:rsidRPr="001A5B90">
        <w:t xml:space="preserve"> in Kisii County in 2014</w:t>
      </w:r>
      <w:r w:rsidRPr="001A5B90">
        <w:t>.</w:t>
      </w:r>
      <w:r w:rsidR="008E7790" w:rsidRPr="00682502">
        <w:rPr>
          <w:rStyle w:val="FootnoteReference"/>
        </w:rPr>
        <w:footnoteReference w:id="202"/>
      </w:r>
      <w:r w:rsidRPr="001A5B90">
        <w:t xml:space="preserve"> By 2019, protein energy malnutrition was still causing approximately 18 deaths and contributing to 1,648 DALYs in Kisii County. As of 2019, protein energy malnutrition was the cause of death for 2.2% of total deaths in children under 5, and 3.3% of deaths in children aged 5-14 in Kisii county.</w:t>
      </w:r>
      <w:r w:rsidR="008E7790" w:rsidRPr="00682502">
        <w:rPr>
          <w:rStyle w:val="FootnoteReference"/>
        </w:rPr>
        <w:footnoteReference w:id="203"/>
      </w:r>
      <w:r w:rsidR="00AD1FA7" w:rsidRPr="001A5B90">
        <w:t xml:space="preserve"> </w:t>
      </w:r>
      <w:r w:rsidR="007B41E3" w:rsidRPr="001A5B90">
        <w:t>Estimates from the IHME showed the rate of child stunting in Kisii county to be at 33.6% in 2019, compared to 34.7% in 2014.</w:t>
      </w:r>
      <w:r w:rsidR="008E7790" w:rsidRPr="00682502">
        <w:rPr>
          <w:rStyle w:val="FootnoteReference"/>
        </w:rPr>
        <w:footnoteReference w:id="204"/>
      </w:r>
      <w:r w:rsidR="00757D57">
        <w:t xml:space="preserve"> </w:t>
      </w:r>
    </w:p>
    <w:p w14:paraId="529E6CB6" w14:textId="22BD75CF" w:rsidR="001271B2" w:rsidRDefault="001271B2" w:rsidP="0017290B">
      <w:pPr>
        <w:rPr>
          <w:b/>
        </w:rPr>
      </w:pPr>
    </w:p>
    <w:p w14:paraId="595D4B0F" w14:textId="1A3C29BD" w:rsidR="001271B2" w:rsidRPr="001271B2" w:rsidRDefault="001271B2" w:rsidP="0017290B">
      <w:r>
        <w:rPr>
          <w:b/>
        </w:rPr>
        <w:t xml:space="preserve">Contribution to mortality. </w:t>
      </w:r>
      <w:r>
        <w:t>As of 2019, protein-energy malnutrition caused 4.2% of deaths in children under-five in Kenya, making it the 7</w:t>
      </w:r>
      <w:r w:rsidRPr="001271B2">
        <w:rPr>
          <w:vertAlign w:val="superscript"/>
        </w:rPr>
        <w:t>th</w:t>
      </w:r>
      <w:r>
        <w:t xml:space="preserve"> leading cause of death in Kenya at that time. In Kisii county in 2019, an estimated 2.2% of deaths among children under-five were caused by protein-energy malnutrition, also ranking it as the 7</w:t>
      </w:r>
      <w:r w:rsidRPr="001271B2">
        <w:rPr>
          <w:vertAlign w:val="superscript"/>
        </w:rPr>
        <w:t>th</w:t>
      </w:r>
      <w:r>
        <w:t xml:space="preserve"> leading cause of death in this area.</w:t>
      </w:r>
      <w:r w:rsidR="008E7790" w:rsidRPr="00682502">
        <w:rPr>
          <w:rStyle w:val="FootnoteReference"/>
        </w:rPr>
        <w:footnoteReference w:id="205"/>
      </w:r>
      <w:r w:rsidR="00757D57" w:rsidRPr="001271B2">
        <w:t xml:space="preserve"> </w:t>
      </w:r>
    </w:p>
    <w:p w14:paraId="17B1F387" w14:textId="77777777" w:rsidR="0017290B" w:rsidRPr="001A5B90" w:rsidRDefault="0017290B" w:rsidP="0017290B"/>
    <w:p w14:paraId="49DBA7FC" w14:textId="21DD808D" w:rsidR="00E2336A" w:rsidRPr="001A5B90" w:rsidRDefault="003917B9" w:rsidP="006A18F3">
      <w:r w:rsidRPr="001A5B90">
        <w:rPr>
          <w:b/>
        </w:rPr>
        <w:t>Education and economic c</w:t>
      </w:r>
      <w:r w:rsidR="003200A6" w:rsidRPr="001A5B90">
        <w:rPr>
          <w:b/>
        </w:rPr>
        <w:t xml:space="preserve">onsequences of stunting. </w:t>
      </w:r>
      <w:r w:rsidR="003200A6" w:rsidRPr="001A5B90">
        <w:t>There are numerous individual level and community level consequences of stunting. Stunting affects cognitive, motor, and socio-emotional development in children.</w:t>
      </w:r>
      <w:r w:rsidR="008E7790" w:rsidRPr="00682502">
        <w:rPr>
          <w:rStyle w:val="FootnoteReference"/>
        </w:rPr>
        <w:footnoteReference w:id="206"/>
      </w:r>
      <w:r w:rsidR="008E7790">
        <w:rPr>
          <w:vertAlign w:val="superscript"/>
        </w:rPr>
        <w:t>,</w:t>
      </w:r>
      <w:r w:rsidR="008E7790" w:rsidRPr="00682502">
        <w:rPr>
          <w:rStyle w:val="FootnoteReference"/>
        </w:rPr>
        <w:footnoteReference w:id="207"/>
      </w:r>
      <w:r w:rsidR="003200A6" w:rsidRPr="001A5B90">
        <w:t xml:space="preserve"> </w:t>
      </w:r>
      <w:r w:rsidR="004D6BB2" w:rsidRPr="001A5B90">
        <w:t>As a result of these effects on child development, stunting</w:t>
      </w:r>
      <w:r w:rsidR="003200A6" w:rsidRPr="001A5B90">
        <w:t xml:space="preserve"> </w:t>
      </w:r>
      <w:r w:rsidR="004D6BB2" w:rsidRPr="001A5B90">
        <w:t xml:space="preserve">is </w:t>
      </w:r>
      <w:r w:rsidR="003200A6" w:rsidRPr="001A5B90">
        <w:t xml:space="preserve">a predictor of poor school achievement. One study found that for every 10% increase in stunting prevalence, the percentage of children completing primary school dropped by </w:t>
      </w:r>
      <w:r w:rsidR="00974C22" w:rsidRPr="001A5B90">
        <w:t>7.9%.</w:t>
      </w:r>
      <w:r w:rsidR="008E7790" w:rsidRPr="00682502">
        <w:rPr>
          <w:rStyle w:val="FootnoteReference"/>
        </w:rPr>
        <w:footnoteReference w:id="208"/>
      </w:r>
      <w:r w:rsidR="00974C22" w:rsidRPr="001A5B90">
        <w:t xml:space="preserve"> </w:t>
      </w:r>
      <w:r w:rsidR="008444DB" w:rsidRPr="001A5B90">
        <w:t>Stunting, and the associated decrease in educational achievement, affects future economic earnings</w:t>
      </w:r>
      <w:r w:rsidR="004D6BB2" w:rsidRPr="001A5B90">
        <w:t xml:space="preserve">, with conservative estimates showing a loss of adult income of 22.2% for </w:t>
      </w:r>
      <w:r w:rsidR="004D6BB2" w:rsidRPr="001A5B90">
        <w:lastRenderedPageBreak/>
        <w:t>those who were stunted as children.</w:t>
      </w:r>
      <w:r w:rsidR="008E7790" w:rsidRPr="00682502">
        <w:rPr>
          <w:rStyle w:val="FootnoteReference"/>
        </w:rPr>
        <w:footnoteReference w:id="209"/>
      </w:r>
      <w:r w:rsidR="004D6BB2" w:rsidRPr="001A5B90">
        <w:t xml:space="preserve"> This loss of adult income has significant implications for the economic development of communities affected by stunting. </w:t>
      </w:r>
      <w:r w:rsidRPr="001A5B90">
        <w:t>Longitudinal studies of interventions to address stunting found that in addition to improving body size, they also had positive effects on school achievement and economic productivity. In long-term follow up of one nutritional intervention in Guatemala, diet supplementation in the first 2 years of life was correlated with a 46% increase in average wages in the future.</w:t>
      </w:r>
      <w:r w:rsidR="008E7790" w:rsidRPr="00682502">
        <w:rPr>
          <w:rStyle w:val="FootnoteReference"/>
        </w:rPr>
        <w:footnoteReference w:id="210"/>
      </w:r>
      <w:r w:rsidRPr="001A5B90">
        <w:t xml:space="preserve"> Another analysis of the same nutritional intervention found that women who received the nutritional supplements as children completed</w:t>
      </w:r>
      <w:r w:rsidR="008444DB" w:rsidRPr="001A5B90">
        <w:t xml:space="preserve"> an average of 1.2 grades more than those who did not receive the intervention.</w:t>
      </w:r>
      <w:r w:rsidR="008E7790" w:rsidRPr="00682502">
        <w:rPr>
          <w:rStyle w:val="FootnoteReference"/>
        </w:rPr>
        <w:footnoteReference w:id="211"/>
      </w:r>
      <w:r w:rsidR="00757D57" w:rsidRPr="001A5B90">
        <w:t xml:space="preserve"> </w:t>
      </w:r>
    </w:p>
    <w:p w14:paraId="40E6EBA1" w14:textId="77777777" w:rsidR="00E2336A" w:rsidRPr="001A5B90" w:rsidRDefault="00E2336A" w:rsidP="006A18F3"/>
    <w:p w14:paraId="677A5CA5" w14:textId="49D55F4E" w:rsidR="003200A6" w:rsidRPr="001A5B90" w:rsidRDefault="00E2336A" w:rsidP="006A18F3">
      <w:r w:rsidRPr="001A5B90">
        <w:t>As discussed above, p</w:t>
      </w:r>
      <w:r w:rsidR="00D3690F" w:rsidRPr="001A5B90">
        <w:t>overty is both a predictor and a consequence of stunting</w:t>
      </w:r>
      <w:r w:rsidRPr="001A5B90">
        <w:t>: lower household wealth is associated with stunting and stunting in childhood is associated with lower future income.</w:t>
      </w:r>
      <w:r w:rsidR="008E7790" w:rsidRPr="00682502">
        <w:rPr>
          <w:rStyle w:val="FootnoteReference"/>
        </w:rPr>
        <w:footnoteReference w:id="212"/>
      </w:r>
      <w:r w:rsidR="008E7790">
        <w:rPr>
          <w:vertAlign w:val="superscript"/>
        </w:rPr>
        <w:t>,</w:t>
      </w:r>
      <w:r w:rsidR="008E7790" w:rsidRPr="00682502">
        <w:rPr>
          <w:rStyle w:val="FootnoteReference"/>
        </w:rPr>
        <w:footnoteReference w:id="213"/>
      </w:r>
      <w:r w:rsidR="00D3690F" w:rsidRPr="001A5B90">
        <w:t xml:space="preserve"> In</w:t>
      </w:r>
      <w:r w:rsidRPr="001A5B90">
        <w:t>terventions to target stunting have the potential to stop this vicious cycle, and to promote an overall improvement in the physical, mental and economic well-being of a community.</w:t>
      </w:r>
    </w:p>
    <w:p w14:paraId="47E307D3" w14:textId="77777777" w:rsidR="003200A6" w:rsidRPr="001A5B90" w:rsidRDefault="003200A6" w:rsidP="006A18F3">
      <w:pPr>
        <w:rPr>
          <w:b/>
        </w:rPr>
      </w:pPr>
    </w:p>
    <w:p w14:paraId="08DCB31C" w14:textId="7EA63893" w:rsidR="00F0147B" w:rsidRPr="001A5B90" w:rsidRDefault="0017290B" w:rsidP="006A18F3">
      <w:r w:rsidRPr="001A5B90">
        <w:rPr>
          <w:b/>
        </w:rPr>
        <w:t xml:space="preserve">Predictors of malnutrition. </w:t>
      </w:r>
      <w:r w:rsidRPr="001A5B90">
        <w:t>Some factors that may be protective against malnutrition include: having up-to-date vaccinations, some farming practices, and certain family characteristics (e.g. more adults in home compared to children).</w:t>
      </w:r>
      <w:r w:rsidR="008E7790" w:rsidRPr="00682502">
        <w:rPr>
          <w:rStyle w:val="FootnoteReference"/>
        </w:rPr>
        <w:footnoteReference w:id="214"/>
      </w:r>
      <w:r w:rsidRPr="001A5B90">
        <w:t xml:space="preserve"> Factors found to increase a child’s risk for malnutrition include: being exposed to untreated water, having food introduced within the first 6 months of life, and history of illness.</w:t>
      </w:r>
      <w:r w:rsidR="008E7790" w:rsidRPr="00682502">
        <w:rPr>
          <w:rStyle w:val="FootnoteReference"/>
        </w:rPr>
        <w:footnoteReference w:id="215"/>
      </w:r>
      <w:r w:rsidRPr="001A5B90">
        <w:t xml:space="preserve"> Other external factors, such as climate conditions (e.g. higher temperatures, less precipitation) and conflict events have been found to be associated with lower weight-for-height scores (measure of wasting).</w:t>
      </w:r>
      <w:r w:rsidR="008E7790" w:rsidRPr="00682502">
        <w:rPr>
          <w:rStyle w:val="FootnoteReference"/>
        </w:rPr>
        <w:footnoteReference w:id="216"/>
      </w:r>
      <w:r w:rsidRPr="001A5B90">
        <w:t xml:space="preserve"> Furthermore, children living in households with more resources had higher weight-for-height measurements, while children with more siblings and recent illness had lower average weight-for-height measurements.</w:t>
      </w:r>
      <w:r w:rsidR="008E7790" w:rsidRPr="00682502">
        <w:rPr>
          <w:rStyle w:val="FootnoteReference"/>
        </w:rPr>
        <w:footnoteReference w:id="217"/>
      </w:r>
      <w:r w:rsidR="00F0147B" w:rsidRPr="001A5B90">
        <w:t xml:space="preserve"> </w:t>
      </w:r>
      <w:r w:rsidR="00EC1C07" w:rsidRPr="001A5B90">
        <w:lastRenderedPageBreak/>
        <w:t>Stunting and underweight rates were also highest in low income households, in households with mothers’ with no education, and in rural areas.</w:t>
      </w:r>
      <w:r w:rsidR="008E7790" w:rsidRPr="00682502">
        <w:rPr>
          <w:rStyle w:val="FootnoteReference"/>
        </w:rPr>
        <w:footnoteReference w:id="218"/>
      </w:r>
      <w:r w:rsidR="00757D57" w:rsidRPr="001A5B90">
        <w:t xml:space="preserve"> </w:t>
      </w:r>
    </w:p>
    <w:p w14:paraId="655766BB" w14:textId="77777777" w:rsidR="00F0147B" w:rsidRPr="001A5B90" w:rsidRDefault="00F0147B" w:rsidP="006A18F3"/>
    <w:p w14:paraId="20D83286" w14:textId="73B0604B" w:rsidR="0017290B" w:rsidRPr="001A5B90" w:rsidRDefault="00F0147B" w:rsidP="006A18F3">
      <w:r w:rsidRPr="001A5B90">
        <w:rPr>
          <w:b/>
        </w:rPr>
        <w:t xml:space="preserve">Water, sanitation and hygiene (WASH). </w:t>
      </w:r>
      <w:r w:rsidRPr="001A5B90">
        <w:t xml:space="preserve">Importantly, stunting can occur even in children who are well fed, due to poor sanitation and hygiene practices which lead to infections. </w:t>
      </w:r>
      <w:r w:rsidR="008313B0" w:rsidRPr="001A5B90">
        <w:t>As a result</w:t>
      </w:r>
      <w:r w:rsidRPr="001A5B90">
        <w:t>, there is less absorption of nutrients</w:t>
      </w:r>
      <w:r w:rsidR="008313B0" w:rsidRPr="001A5B90">
        <w:t xml:space="preserve"> from food, and the</w:t>
      </w:r>
      <w:r w:rsidRPr="001A5B90">
        <w:t xml:space="preserve"> energy </w:t>
      </w:r>
      <w:r w:rsidR="008313B0" w:rsidRPr="001A5B90">
        <w:t>that is obtained from food</w:t>
      </w:r>
      <w:r w:rsidRPr="001A5B90">
        <w:t xml:space="preserve"> is diverted towards fighting infections</w:t>
      </w:r>
      <w:r w:rsidR="008313B0" w:rsidRPr="001A5B90">
        <w:t xml:space="preserve"> and away from growth</w:t>
      </w:r>
      <w:r w:rsidRPr="001A5B90">
        <w:t>.</w:t>
      </w:r>
      <w:r w:rsidR="008E7790" w:rsidRPr="00682502">
        <w:rPr>
          <w:rStyle w:val="FootnoteReference"/>
        </w:rPr>
        <w:footnoteReference w:id="219"/>
      </w:r>
      <w:r w:rsidRPr="001A5B90">
        <w:t xml:space="preserve"> </w:t>
      </w:r>
      <w:r w:rsidR="008313B0" w:rsidRPr="001A5B90">
        <w:t xml:space="preserve">Although WASH interventions to reduce stunting have had mixed results, there is evidence to suggest that interventions </w:t>
      </w:r>
      <w:r w:rsidR="00B809BC" w:rsidRPr="001A5B90">
        <w:t>to suggest these interventions</w:t>
      </w:r>
      <w:r w:rsidR="008313B0" w:rsidRPr="001A5B90">
        <w:t xml:space="preserve"> may decrease stunting rates in children, although ensuring uptake is necessary to see these effects.</w:t>
      </w:r>
      <w:r w:rsidR="008E7790" w:rsidRPr="00682502">
        <w:rPr>
          <w:rStyle w:val="FootnoteReference"/>
        </w:rPr>
        <w:footnoteReference w:id="220"/>
      </w:r>
      <w:r w:rsidR="008313B0" w:rsidRPr="001A5B90">
        <w:t xml:space="preserve"> </w:t>
      </w:r>
    </w:p>
    <w:p w14:paraId="2117062A" w14:textId="77777777" w:rsidR="0017290B" w:rsidRPr="001A5B90" w:rsidRDefault="0017290B" w:rsidP="0017290B"/>
    <w:p w14:paraId="0B5437AD" w14:textId="54C6B4CB" w:rsidR="0017290B" w:rsidRPr="001A5B90" w:rsidRDefault="0017290B" w:rsidP="006A18F3">
      <w:r w:rsidRPr="001A5B90">
        <w:rPr>
          <w:b/>
        </w:rPr>
        <w:t xml:space="preserve">Breastfeeding. </w:t>
      </w:r>
      <w:r w:rsidRPr="001A5B90">
        <w:t>UNICEF and WHO guidelines recommend exclusive breastfeeding for the first 6 months of life with continued breastfeeding until up to 2 years of age.</w:t>
      </w:r>
      <w:r w:rsidR="008E7790" w:rsidRPr="00682502">
        <w:rPr>
          <w:rStyle w:val="FootnoteReference"/>
        </w:rPr>
        <w:footnoteReference w:id="221"/>
      </w:r>
      <w:r w:rsidRPr="001A5B90">
        <w:t xml:space="preserve"> These recommendations have numerous benefits, including protection against gastrointestinal infections in the first 6 months and providing a source of energy and nutrients. Specifically, breastmilk can provide half of a child’s energy requirement at ages 6-12 months and one third of the energy requirements between 12 and 24 months.</w:t>
      </w:r>
      <w:r w:rsidR="008E7790" w:rsidRPr="00682502">
        <w:rPr>
          <w:rStyle w:val="FootnoteReference"/>
        </w:rPr>
        <w:footnoteReference w:id="222"/>
      </w:r>
      <w:r w:rsidRPr="001A5B90">
        <w:t xml:space="preserve"> According to 2014 DHS data, 99% of children in Kenya</w:t>
      </w:r>
      <w:r w:rsidRPr="001A5B90">
        <w:rPr>
          <w:b/>
        </w:rPr>
        <w:t xml:space="preserve"> </w:t>
      </w:r>
      <w:r w:rsidRPr="001A5B90">
        <w:t>had been breastfed for some period of time, however, only 61% of children were exclusively breastfed for the first 6 months.</w:t>
      </w:r>
      <w:r w:rsidR="008E7790" w:rsidRPr="00682502">
        <w:rPr>
          <w:rStyle w:val="FootnoteReference"/>
        </w:rPr>
        <w:footnoteReference w:id="223"/>
      </w:r>
      <w:r w:rsidRPr="001A5B90">
        <w:t xml:space="preserve"> In the Nyanza region, where Kisii county is located, the median duration of exclusive breastfeeding was 3.4 months. The proportion of children breastfeeding decreases as children age: 88% are still breastfeeding at age 12-17 months and 61% at 18-23 months.</w:t>
      </w:r>
      <w:r w:rsidR="008E7790" w:rsidRPr="00682502">
        <w:rPr>
          <w:rStyle w:val="FootnoteReference"/>
        </w:rPr>
        <w:footnoteReference w:id="224"/>
      </w:r>
      <w:r w:rsidRPr="001A5B90">
        <w:t xml:space="preserve"> UNICEF and WHO also recommend introducing complementary (solid) foods starting at 6 months.</w:t>
      </w:r>
      <w:r w:rsidR="008E7790" w:rsidRPr="00682502">
        <w:rPr>
          <w:rStyle w:val="FootnoteReference"/>
        </w:rPr>
        <w:footnoteReference w:id="225"/>
      </w:r>
      <w:r w:rsidRPr="001A5B90">
        <w:t xml:space="preserve"> If complementary foods are not introduced around 6 months, this can have implications on an infant’s growth.</w:t>
      </w:r>
      <w:r w:rsidR="008E7790" w:rsidRPr="00682502">
        <w:rPr>
          <w:rStyle w:val="FootnoteReference"/>
        </w:rPr>
        <w:footnoteReference w:id="226"/>
      </w:r>
      <w:r w:rsidRPr="001A5B90">
        <w:t xml:space="preserve"> 2014 Kenya DHS data showed that 80% of children had solid, semisolid, or soft foods introduced between 6-8 months, and only 22% of children between 6-23 months consume a minimum acceptable diet.</w:t>
      </w:r>
      <w:r w:rsidR="008E7790" w:rsidRPr="00682502">
        <w:rPr>
          <w:rStyle w:val="FootnoteReference"/>
        </w:rPr>
        <w:footnoteReference w:id="227"/>
      </w:r>
      <w:r w:rsidR="00757D57" w:rsidRPr="001A5B90">
        <w:t xml:space="preserve"> </w:t>
      </w:r>
    </w:p>
    <w:p w14:paraId="38E8A717" w14:textId="34279001" w:rsidR="0017290B" w:rsidRPr="001A5B90" w:rsidRDefault="0017290B" w:rsidP="006A18F3"/>
    <w:p w14:paraId="69789EEF" w14:textId="2584E0AB" w:rsidR="009108D1" w:rsidRPr="001A5B90" w:rsidRDefault="000D6665" w:rsidP="006A18F3">
      <w:r w:rsidRPr="001A5B90">
        <w:rPr>
          <w:b/>
        </w:rPr>
        <w:t>Micronutrient Deficiencies</w:t>
      </w:r>
      <w:r w:rsidR="004E39B1" w:rsidRPr="001A5B90">
        <w:rPr>
          <w:b/>
        </w:rPr>
        <w:t xml:space="preserve"> and Anemia</w:t>
      </w:r>
      <w:r w:rsidRPr="001A5B90">
        <w:rPr>
          <w:b/>
        </w:rPr>
        <w:t>.</w:t>
      </w:r>
      <w:r w:rsidR="004E39B1" w:rsidRPr="001A5B90">
        <w:rPr>
          <w:b/>
        </w:rPr>
        <w:t xml:space="preserve"> </w:t>
      </w:r>
      <w:r w:rsidR="004E39B1" w:rsidRPr="001A5B90">
        <w:t xml:space="preserve">Micronutrient deficiencies occur when there is a lack of intake of vitamins and minerals that are essential in small amounts for adequate growth and </w:t>
      </w:r>
      <w:r w:rsidR="004E39B1" w:rsidRPr="001A5B90">
        <w:lastRenderedPageBreak/>
        <w:t>development.</w:t>
      </w:r>
      <w:r w:rsidR="008E7790" w:rsidRPr="00682502">
        <w:rPr>
          <w:rStyle w:val="FootnoteReference"/>
        </w:rPr>
        <w:footnoteReference w:id="228"/>
      </w:r>
      <w:r w:rsidR="004E39B1" w:rsidRPr="001A5B90">
        <w:t xml:space="preserve"> These include iron, zinc, calcium, iodine, vitamin A, B vitamins, and vitamin C.</w:t>
      </w:r>
      <w:r w:rsidR="008E7790" w:rsidRPr="00682502">
        <w:rPr>
          <w:rStyle w:val="FootnoteReference"/>
        </w:rPr>
        <w:footnoteReference w:id="229"/>
      </w:r>
      <w:r w:rsidR="004E39B1" w:rsidRPr="001A5B90">
        <w:t xml:space="preserve"> Lacking these micronutrients can lead to poor health outcomes such as anemia (due to iron or B12 deficiency</w:t>
      </w:r>
      <w:r w:rsidR="00AA7ED6" w:rsidRPr="001A5B90">
        <w:t>), blindness and increased rates of morbidity and mortality (due to Vitamin A deficiency), and stunted growth and increased susceptibility to infections (due to zinc deficiency), among other effects</w:t>
      </w:r>
      <w:r w:rsidR="004E39B1" w:rsidRPr="001A5B90">
        <w:t>.</w:t>
      </w:r>
      <w:r w:rsidR="008E7790" w:rsidRPr="00682502">
        <w:rPr>
          <w:rStyle w:val="FootnoteReference"/>
        </w:rPr>
        <w:footnoteReference w:id="230"/>
      </w:r>
      <w:r w:rsidR="004E39B1" w:rsidRPr="001A5B90">
        <w:t xml:space="preserve"> Populations at risk for micronutrient deficiencies include pregnant women (due to increased dietary requirements during pregnancy) and children (due to increased requirements for growth and development).</w:t>
      </w:r>
      <w:r w:rsidR="008E7790" w:rsidRPr="00682502">
        <w:rPr>
          <w:rStyle w:val="FootnoteReference"/>
        </w:rPr>
        <w:footnoteReference w:id="231"/>
      </w:r>
      <w:r w:rsidR="004E39B1" w:rsidRPr="001A5B90">
        <w:t xml:space="preserve"> </w:t>
      </w:r>
    </w:p>
    <w:p w14:paraId="7969165E" w14:textId="77777777" w:rsidR="009108D1" w:rsidRPr="001A5B90" w:rsidRDefault="009108D1" w:rsidP="006A18F3"/>
    <w:p w14:paraId="6CCC5778" w14:textId="05563D59" w:rsidR="000D6665" w:rsidRPr="001A5B90" w:rsidRDefault="003C554A" w:rsidP="006A18F3">
      <w:r w:rsidRPr="001A5B90">
        <w:t xml:space="preserve">As of 2019, the prevalence of anemia in Kenya among children ages 6-59 months was 42.8%. The </w:t>
      </w:r>
      <w:r w:rsidR="00EE3497" w:rsidRPr="001A5B90">
        <w:t xml:space="preserve">2019 </w:t>
      </w:r>
      <w:r w:rsidRPr="001A5B90">
        <w:t xml:space="preserve">rate </w:t>
      </w:r>
      <w:r w:rsidR="00AA773E" w:rsidRPr="001A5B90">
        <w:t>reflects a lack of improvement</w:t>
      </w:r>
      <w:r w:rsidR="00EE3497" w:rsidRPr="001A5B90">
        <w:t xml:space="preserve"> in the prevalence of anemia in the past few years, </w:t>
      </w:r>
      <w:r w:rsidRPr="001A5B90">
        <w:t xml:space="preserve">as in 2014 </w:t>
      </w:r>
      <w:r w:rsidR="00AA773E" w:rsidRPr="001A5B90">
        <w:t xml:space="preserve">the anemia rate </w:t>
      </w:r>
      <w:r w:rsidRPr="001A5B90">
        <w:t>was 39.7% and in 2017 it was 41.4%.</w:t>
      </w:r>
      <w:r w:rsidR="008E7790" w:rsidRPr="00682502">
        <w:rPr>
          <w:rStyle w:val="FootnoteReference"/>
        </w:rPr>
        <w:footnoteReference w:id="232"/>
      </w:r>
      <w:r w:rsidR="00AA773E" w:rsidRPr="001A5B90">
        <w:t xml:space="preserve"> Major contributors to anemia are lack of sufficient iron intake and helminth infections.</w:t>
      </w:r>
      <w:r w:rsidR="008E7790" w:rsidRPr="00682502">
        <w:rPr>
          <w:rStyle w:val="FootnoteReference"/>
        </w:rPr>
        <w:footnoteReference w:id="233"/>
      </w:r>
      <w:r w:rsidR="009108D1" w:rsidRPr="001A5B90">
        <w:t xml:space="preserve"> According to 2014 DHS data, only</w:t>
      </w:r>
      <w:r w:rsidR="00757D57">
        <w:t xml:space="preserve"> </w:t>
      </w:r>
      <w:r w:rsidR="009108D1" w:rsidRPr="001A5B90">
        <w:t>33% of children 6-23 months old consumed food rich in iron the day before the survey.</w:t>
      </w:r>
      <w:r w:rsidR="008E7790" w:rsidRPr="00682502">
        <w:rPr>
          <w:rStyle w:val="FootnoteReference"/>
        </w:rPr>
        <w:footnoteReference w:id="234"/>
      </w:r>
      <w:r w:rsidR="009108D1" w:rsidRPr="001A5B90">
        <w:t xml:space="preserve"> Additionally, despite policies in Kenya requiring children 12-59 months old to receive deworming medications every 6 months, only 51% of children in 2014 received deworming medication in the 6 months prior to the survey.</w:t>
      </w:r>
      <w:r w:rsidR="008E7790" w:rsidRPr="00682502">
        <w:rPr>
          <w:rStyle w:val="FootnoteReference"/>
        </w:rPr>
        <w:footnoteReference w:id="235"/>
      </w:r>
      <w:r w:rsidR="00757D57" w:rsidRPr="001A5B90">
        <w:t xml:space="preserve"> </w:t>
      </w:r>
    </w:p>
    <w:p w14:paraId="6E081EA4" w14:textId="488C6CF8" w:rsidR="001902F9" w:rsidRPr="001A5B90" w:rsidRDefault="001902F9" w:rsidP="006A18F3"/>
    <w:p w14:paraId="4E3D3571" w14:textId="50FEAC94" w:rsidR="001902F9" w:rsidRPr="001A5B90" w:rsidRDefault="00A93DBC" w:rsidP="006A18F3">
      <w:r w:rsidRPr="001A5B90">
        <w:t xml:space="preserve">As of 2018 in Kenya, only 59% of children ages 6-59 months had received at least 2 doses of vitamin A in the past year. This is an improvement from previous years, as in </w:t>
      </w:r>
      <w:r w:rsidR="00123D4A" w:rsidRPr="001A5B90">
        <w:t>2014, the coverage rate for vitamin A was only 28%.</w:t>
      </w:r>
      <w:r w:rsidR="008E7790" w:rsidRPr="00682502">
        <w:rPr>
          <w:rStyle w:val="FootnoteReference"/>
        </w:rPr>
        <w:footnoteReference w:id="236"/>
      </w:r>
      <w:r w:rsidR="001902F9" w:rsidRPr="001A5B90">
        <w:t xml:space="preserve"> </w:t>
      </w:r>
      <w:r w:rsidRPr="001A5B90">
        <w:t>I</w:t>
      </w:r>
      <w:r w:rsidR="001902F9" w:rsidRPr="001A5B90">
        <w:t>n Kisii county in 2014, only 55.4%</w:t>
      </w:r>
      <w:r w:rsidR="00AA773E" w:rsidRPr="001A5B90">
        <w:t xml:space="preserve"> of children 6-59 months old</w:t>
      </w:r>
      <w:r w:rsidR="001902F9" w:rsidRPr="001A5B90">
        <w:t xml:space="preserve"> received Vitamin A supplements in the past 6 months.</w:t>
      </w:r>
      <w:r w:rsidR="008E7790" w:rsidRPr="00682502">
        <w:rPr>
          <w:rStyle w:val="FootnoteReference"/>
        </w:rPr>
        <w:footnoteReference w:id="237"/>
      </w:r>
      <w:r w:rsidR="00757D57" w:rsidRPr="001A5B90">
        <w:t xml:space="preserve"> </w:t>
      </w:r>
    </w:p>
    <w:p w14:paraId="3CF0092C" w14:textId="77777777" w:rsidR="000D6665" w:rsidRPr="001A5B90" w:rsidRDefault="000D6665" w:rsidP="006A18F3"/>
    <w:p w14:paraId="505EDC85" w14:textId="53139337" w:rsidR="0017290B" w:rsidRPr="001A5B90" w:rsidRDefault="0017290B" w:rsidP="006A18F3">
      <w:r w:rsidRPr="001A5B90">
        <w:rPr>
          <w:b/>
        </w:rPr>
        <w:t>Kenya National Nutrition Action Plan</w:t>
      </w:r>
      <w:r w:rsidRPr="001A5B90">
        <w:t>. Kenya has identified a National Nutrition Action Plan to be achieved over the period of 2018-2022, as they have recognized malnutrition as a major health issue in their country.</w:t>
      </w:r>
      <w:r w:rsidR="008E7790" w:rsidRPr="00682502">
        <w:rPr>
          <w:rStyle w:val="FootnoteReference"/>
        </w:rPr>
        <w:footnoteReference w:id="238"/>
      </w:r>
      <w:r w:rsidRPr="001A5B90">
        <w:t xml:space="preserve"> One of the key result areas for this plan is “Maternal, newborn, infant and young child nutrition scaled up.” The focuses of this result area are optimizing breastfeeding practice and investing in the nutrition of children &lt;2 years old. Other results areas are focused on prevention and management of acute malnutrition and prevention and management of micronutrient deficiencies, among others.</w:t>
      </w:r>
      <w:r w:rsidR="008E7790" w:rsidRPr="00682502">
        <w:rPr>
          <w:rStyle w:val="FootnoteReference"/>
        </w:rPr>
        <w:footnoteReference w:id="239"/>
      </w:r>
      <w:r w:rsidR="00757D57" w:rsidRPr="001A5B90">
        <w:t xml:space="preserve"> </w:t>
      </w:r>
    </w:p>
    <w:p w14:paraId="623EB8E0" w14:textId="77777777" w:rsidR="0017290B" w:rsidRPr="001A5B90" w:rsidRDefault="0017290B" w:rsidP="0017290B"/>
    <w:p w14:paraId="1B474C0F" w14:textId="6269BB30" w:rsidR="0017290B" w:rsidRPr="001A5B90" w:rsidRDefault="0017290B" w:rsidP="0017290B">
      <w:r w:rsidRPr="001A5B90">
        <w:rPr>
          <w:b/>
        </w:rPr>
        <w:lastRenderedPageBreak/>
        <w:t xml:space="preserve">Impact of COVID-19 on Malnutrition. </w:t>
      </w:r>
      <w:r w:rsidRPr="001A5B90">
        <w:t>There is concern that the COVID-19 pandemic will contribute to worsening malnutrition, highlighting the need for interventions to address this issue.</w:t>
      </w:r>
      <w:r w:rsidR="008E7790" w:rsidRPr="00682502">
        <w:rPr>
          <w:rStyle w:val="FootnoteReference"/>
        </w:rPr>
        <w:footnoteReference w:id="240"/>
      </w:r>
      <w:r w:rsidR="008E7790">
        <w:rPr>
          <w:vertAlign w:val="superscript"/>
        </w:rPr>
        <w:t>,</w:t>
      </w:r>
      <w:r w:rsidR="008E7790" w:rsidRPr="00682502">
        <w:rPr>
          <w:rStyle w:val="FootnoteReference"/>
        </w:rPr>
        <w:footnoteReference w:id="241"/>
      </w:r>
      <w:r w:rsidRPr="001A5B90">
        <w:t xml:space="preserve"> One study used modeling tools and predicted an additional 2.6 million children who will be stunted in 2022 compared to 2019, as a consequence of interruptions to food access and worsening poverty during the COVID-19 pandemic. Of these 2.6 million children, it is estimated that almost 1.2 million will be in sub-Saharan Africa. Child wasting was estimated to increase by 9.2 million from 2020-2022, with 1.9 million being in sub-Saharan Africa. As a consequence of this potential trend, it is predicted that there could be 168,000 additional deaths of children under 5 years.</w:t>
      </w:r>
      <w:r w:rsidR="008E7790" w:rsidRPr="00682502">
        <w:rPr>
          <w:rStyle w:val="FootnoteReference"/>
        </w:rPr>
        <w:footnoteReference w:id="242"/>
      </w:r>
      <w:r w:rsidR="00757D57" w:rsidRPr="001A5B90">
        <w:t xml:space="preserve"> </w:t>
      </w:r>
    </w:p>
    <w:p w14:paraId="56914D9D" w14:textId="1F5B70E1" w:rsidR="00215CBF" w:rsidRPr="001A5B90" w:rsidRDefault="00215CBF" w:rsidP="0017290B">
      <w:pPr>
        <w:rPr>
          <w:b/>
        </w:rPr>
      </w:pPr>
    </w:p>
    <w:p w14:paraId="12063059" w14:textId="3DA566B1" w:rsidR="00215CBF" w:rsidRPr="00F03C75" w:rsidRDefault="00614D92" w:rsidP="0017290B">
      <w:pPr>
        <w:rPr>
          <w:b/>
        </w:rPr>
      </w:pPr>
      <w:r w:rsidRPr="00F03C75">
        <w:rPr>
          <w:b/>
        </w:rPr>
        <w:t>Adolescent Nutrition</w:t>
      </w:r>
      <w:r w:rsidR="00F03C75">
        <w:rPr>
          <w:b/>
        </w:rPr>
        <w:t>.</w:t>
      </w:r>
    </w:p>
    <w:p w14:paraId="6E7847E6" w14:textId="176B41DC" w:rsidR="00614D92" w:rsidRPr="001A5B90" w:rsidRDefault="00614D92" w:rsidP="0017290B">
      <w:pPr>
        <w:rPr>
          <w:b/>
          <w:u w:val="single"/>
        </w:rPr>
      </w:pPr>
    </w:p>
    <w:p w14:paraId="256F432F" w14:textId="51A763B6" w:rsidR="0019106B" w:rsidRPr="001A5B90" w:rsidRDefault="00BB6E9A" w:rsidP="0019106B">
      <w:r w:rsidRPr="001A5B90">
        <w:t>Adolescen</w:t>
      </w:r>
      <w:r w:rsidR="00FD25B2" w:rsidRPr="001A5B90">
        <w:t>ce</w:t>
      </w:r>
      <w:r w:rsidRPr="001A5B90">
        <w:t xml:space="preserve"> (</w:t>
      </w:r>
      <w:r w:rsidR="00FD25B2" w:rsidRPr="001A5B90">
        <w:t>defined as those 10-19 years old by the World Health Organization</w:t>
      </w:r>
      <w:r w:rsidRPr="001A5B90">
        <w:t>) is a crucial period in development, as there is rapid skeletal growth and height</w:t>
      </w:r>
      <w:r w:rsidR="00C71B2B" w:rsidRPr="001A5B90">
        <w:t xml:space="preserve"> increase, in addition to cognitive and psychosocial growth,</w:t>
      </w:r>
      <w:r w:rsidRPr="001A5B90">
        <w:t xml:space="preserve"> during this time.</w:t>
      </w:r>
      <w:r w:rsidR="008E7790" w:rsidRPr="00682502">
        <w:rPr>
          <w:rStyle w:val="FootnoteReference"/>
        </w:rPr>
        <w:footnoteReference w:id="243"/>
      </w:r>
      <w:r w:rsidRPr="001A5B90">
        <w:t xml:space="preserve"> Specifically, up to </w:t>
      </w:r>
      <w:r w:rsidR="00FD25B2" w:rsidRPr="001A5B90">
        <w:t xml:space="preserve">20% of total height and 45% of bone mass growth </w:t>
      </w:r>
      <w:r w:rsidRPr="001A5B90">
        <w:t>may occur during the adolescent growth spurt alone.</w:t>
      </w:r>
      <w:r w:rsidR="008E7790" w:rsidRPr="00682502">
        <w:rPr>
          <w:rStyle w:val="FootnoteReference"/>
        </w:rPr>
        <w:footnoteReference w:id="244"/>
      </w:r>
      <w:r w:rsidR="008E7790">
        <w:rPr>
          <w:vertAlign w:val="superscript"/>
        </w:rPr>
        <w:t>,</w:t>
      </w:r>
      <w:r w:rsidR="008E7790" w:rsidRPr="00682502">
        <w:rPr>
          <w:rStyle w:val="FootnoteReference"/>
        </w:rPr>
        <w:footnoteReference w:id="245"/>
      </w:r>
      <w:r w:rsidRPr="001A5B90">
        <w:t xml:space="preserve"> As a result of this significant growth, there are greater nutritional requirements during this time period.</w:t>
      </w:r>
      <w:r w:rsidR="008E7790" w:rsidRPr="00682502">
        <w:rPr>
          <w:rStyle w:val="FootnoteReference"/>
        </w:rPr>
        <w:footnoteReference w:id="246"/>
      </w:r>
      <w:r w:rsidRPr="001A5B90">
        <w:t xml:space="preserve"> </w:t>
      </w:r>
    </w:p>
    <w:p w14:paraId="2CB0C918" w14:textId="77777777" w:rsidR="008E7790" w:rsidRDefault="008E7790" w:rsidP="0019106B"/>
    <w:p w14:paraId="0984943C" w14:textId="424D9D5E" w:rsidR="0019106B" w:rsidRPr="001A5B90" w:rsidRDefault="0019106B" w:rsidP="0019106B">
      <w:r w:rsidRPr="001A5B90">
        <w:t>As of 2022, there were over 13 million adolescents living in Kenya, making up 23.5% of the population.</w:t>
      </w:r>
      <w:r w:rsidR="008E7790" w:rsidRPr="00682502">
        <w:rPr>
          <w:rStyle w:val="FootnoteReference"/>
        </w:rPr>
        <w:footnoteReference w:id="247"/>
      </w:r>
      <w:r w:rsidRPr="001A5B90">
        <w:t xml:space="preserve"> The issue of adolescent nutrition in Kenya, and around the world is two-fold, with high rates of both overweight and underweight adolescents. </w:t>
      </w:r>
      <w:r w:rsidR="001142F1">
        <w:t>There is a lack of data on adolescent stunting rates in Kenya, however, a</w:t>
      </w:r>
      <w:r w:rsidRPr="001A5B90">
        <w:t>s of 2016, 30% of 19-year-old males and 14.3% of 19-year-old females in Kenya were underweight.</w:t>
      </w:r>
      <w:r w:rsidR="008E7790" w:rsidRPr="00682502">
        <w:rPr>
          <w:rStyle w:val="FootnoteReference"/>
        </w:rPr>
        <w:footnoteReference w:id="248"/>
      </w:r>
      <w:r w:rsidRPr="001A5B90">
        <w:t xml:space="preserve"> Conversely, 16.1% of 19-year-old females and 5.3% of 19-year-old males were overweight, and 2.6% of females and 0.5% of males were </w:t>
      </w:r>
      <w:r w:rsidRPr="001A5B90">
        <w:lastRenderedPageBreak/>
        <w:t>obese in 2016.</w:t>
      </w:r>
      <w:r w:rsidR="008E7790" w:rsidRPr="00682502">
        <w:rPr>
          <w:rStyle w:val="FootnoteReference"/>
        </w:rPr>
        <w:footnoteReference w:id="249"/>
      </w:r>
      <w:r w:rsidRPr="001A5B90">
        <w:t xml:space="preserve"> This reflects an increasing rate of overweight and obese adolescents, as in 2010, 12.7% of 19-year-old females 3.9% of males were overweight.</w:t>
      </w:r>
      <w:r w:rsidR="008E7790" w:rsidRPr="00682502">
        <w:rPr>
          <w:rStyle w:val="FootnoteReference"/>
        </w:rPr>
        <w:footnoteReference w:id="250"/>
      </w:r>
      <w:r w:rsidR="00757D57" w:rsidRPr="001A5B90">
        <w:t xml:space="preserve"> </w:t>
      </w:r>
    </w:p>
    <w:p w14:paraId="53A09BBB" w14:textId="5383494C" w:rsidR="00C2667A" w:rsidRPr="001A5B90" w:rsidRDefault="00C2667A" w:rsidP="003847A6"/>
    <w:p w14:paraId="6E9FC5D1" w14:textId="2B6F9123" w:rsidR="00C2667A" w:rsidRPr="001A5B90" w:rsidRDefault="00C2667A" w:rsidP="003847A6">
      <w:pPr>
        <w:rPr>
          <w:b/>
        </w:rPr>
      </w:pPr>
      <w:r w:rsidRPr="001A5B90">
        <w:rPr>
          <w:b/>
        </w:rPr>
        <w:t xml:space="preserve">Health consequences of malnutrition in adolescence. </w:t>
      </w:r>
      <w:r w:rsidRPr="001A5B90">
        <w:t>Having insufficient nutrition during adolescents can result in delayed onset of puberty and impaired bone growth, which can have significant future health consequences.</w:t>
      </w:r>
      <w:r w:rsidR="008E7790" w:rsidRPr="00682502">
        <w:rPr>
          <w:rStyle w:val="FootnoteReference"/>
        </w:rPr>
        <w:footnoteReference w:id="251"/>
      </w:r>
      <w:r w:rsidRPr="001A5B90">
        <w:t xml:space="preserve"> Among the negative effects of malnutrition in adolescents are: stunted growth; increased risk for obstetric complications; reduced working capacity; micronutrient deficiencies (e.g. iron, Vitamin A, iodine); and increased risk for health conditions such as osteoporosis.</w:t>
      </w:r>
      <w:r w:rsidR="008E7790" w:rsidRPr="00682502">
        <w:rPr>
          <w:rStyle w:val="FootnoteReference"/>
        </w:rPr>
        <w:footnoteReference w:id="252"/>
      </w:r>
      <w:r w:rsidR="00DC7796" w:rsidRPr="001A5B90">
        <w:t xml:space="preserve"> Data </w:t>
      </w:r>
      <w:r w:rsidR="00A47A1E" w:rsidRPr="001A5B90">
        <w:t xml:space="preserve">from 2008-2015 on </w:t>
      </w:r>
      <w:r w:rsidR="00DC7796" w:rsidRPr="001A5B90">
        <w:t>children living in Kenya showed that those between the age of 12-14 had rates of anemia &gt;20%.</w:t>
      </w:r>
      <w:r w:rsidR="008E7790" w:rsidRPr="00682502">
        <w:rPr>
          <w:rStyle w:val="FootnoteReference"/>
        </w:rPr>
        <w:footnoteReference w:id="253"/>
      </w:r>
    </w:p>
    <w:p w14:paraId="275B407D" w14:textId="079BD6DD" w:rsidR="00C71B2B" w:rsidRPr="001A5B90" w:rsidRDefault="00C71B2B" w:rsidP="003847A6"/>
    <w:p w14:paraId="008E9FBA" w14:textId="7868D4D2" w:rsidR="0019106B" w:rsidRPr="001A5B90" w:rsidRDefault="0019106B" w:rsidP="003847A6">
      <w:r w:rsidRPr="001A5B90">
        <w:rPr>
          <w:b/>
        </w:rPr>
        <w:t xml:space="preserve">Health consequences of obesity in adolescents. </w:t>
      </w:r>
      <w:r w:rsidRPr="001A5B90">
        <w:t>The rising rate of overweight and obesity in adolescents in Kenya may come with a rising burden of some chronic diseases. High fat diets and sedentary lifestyles are associated with increased risk for morbidity and mortality related to cardiovascular disease.</w:t>
      </w:r>
      <w:r w:rsidR="008E7790" w:rsidRPr="00682502">
        <w:rPr>
          <w:rStyle w:val="FootnoteReference"/>
        </w:rPr>
        <w:footnoteReference w:id="254"/>
      </w:r>
      <w:r w:rsidR="00757D57" w:rsidRPr="001A5B90">
        <w:t xml:space="preserve"> </w:t>
      </w:r>
    </w:p>
    <w:p w14:paraId="2B942844" w14:textId="0A0EAE33" w:rsidR="0088415A" w:rsidRPr="001A5B90" w:rsidRDefault="0088415A" w:rsidP="003847A6"/>
    <w:p w14:paraId="26C90B72" w14:textId="0D26503C" w:rsidR="00C2667A" w:rsidRPr="001A5B90" w:rsidRDefault="00D90DBC" w:rsidP="003847A6">
      <w:r w:rsidRPr="001A5B90">
        <w:rPr>
          <w:b/>
        </w:rPr>
        <w:t xml:space="preserve">Importance of adolescent nutrition. </w:t>
      </w:r>
      <w:r w:rsidR="00C2667A" w:rsidRPr="001A5B90">
        <w:t>Adolescence provides an opportunity to “catch up” on any growth deficits that occurred in childhood. Catch up growth is defined as height growth above normal for age following a period of insufficient growth.</w:t>
      </w:r>
      <w:r w:rsidR="008E7790" w:rsidRPr="00682502">
        <w:rPr>
          <w:rStyle w:val="FootnoteReference"/>
        </w:rPr>
        <w:footnoteReference w:id="255"/>
      </w:r>
      <w:r w:rsidR="00C2667A" w:rsidRPr="001A5B90">
        <w:t xml:space="preserve"> Once final height is reached after adolescence, stunting becomes permanent, but if proper nutrition is achieved in adolescence, evidence suggests these individuals may be more likely to achieve average height.</w:t>
      </w:r>
      <w:r w:rsidR="008E7790" w:rsidRPr="00682502">
        <w:rPr>
          <w:rStyle w:val="FootnoteReference"/>
        </w:rPr>
        <w:footnoteReference w:id="256"/>
      </w:r>
      <w:r w:rsidR="008E7790">
        <w:rPr>
          <w:vertAlign w:val="superscript"/>
        </w:rPr>
        <w:t>,</w:t>
      </w:r>
      <w:r w:rsidR="008E7790" w:rsidRPr="00682502">
        <w:rPr>
          <w:rStyle w:val="FootnoteReference"/>
        </w:rPr>
        <w:footnoteReference w:id="257"/>
      </w:r>
      <w:r w:rsidR="00C2667A" w:rsidRPr="001A5B90">
        <w:t xml:space="preserve"> Some evidence suggests that in order for catch up growth to occur, a child who was undernourished must first regain 85% of their weight.</w:t>
      </w:r>
      <w:r w:rsidR="008E7790" w:rsidRPr="00682502">
        <w:rPr>
          <w:rStyle w:val="FootnoteReference"/>
        </w:rPr>
        <w:footnoteReference w:id="258"/>
      </w:r>
      <w:r w:rsidR="008E7790">
        <w:rPr>
          <w:vertAlign w:val="superscript"/>
        </w:rPr>
        <w:t>,</w:t>
      </w:r>
      <w:r w:rsidR="008E7790" w:rsidRPr="00682502">
        <w:rPr>
          <w:rStyle w:val="FootnoteReference"/>
        </w:rPr>
        <w:footnoteReference w:id="259"/>
      </w:r>
      <w:r w:rsidR="00C2667A" w:rsidRPr="001A5B90">
        <w:t xml:space="preserve"> </w:t>
      </w:r>
    </w:p>
    <w:p w14:paraId="7BA58E13" w14:textId="77777777" w:rsidR="00C2667A" w:rsidRPr="001A5B90" w:rsidRDefault="00C2667A" w:rsidP="003847A6"/>
    <w:p w14:paraId="54AFB575" w14:textId="58710E60" w:rsidR="00C2667A" w:rsidRPr="001A5B90" w:rsidRDefault="00C2667A" w:rsidP="003847A6">
      <w:r w:rsidRPr="001A5B90">
        <w:t>In addition to catch up growth, t</w:t>
      </w:r>
      <w:r w:rsidR="00D90DBC" w:rsidRPr="001A5B90">
        <w:t xml:space="preserve">he benefits of adequate nutrition in adolescence are numerous. For adolescent girls, </w:t>
      </w:r>
      <w:r w:rsidR="00193942" w:rsidRPr="001A5B90">
        <w:t xml:space="preserve">having good nutrition allows them to enter future pregnancies at an adequate weight, which has significant maternal and fetal benefits (improved lactation outcomes, reduced risk of anemia in pregnancy, lower maternal morbidity and mortality, higher </w:t>
      </w:r>
      <w:r w:rsidR="00193942" w:rsidRPr="001A5B90">
        <w:lastRenderedPageBreak/>
        <w:t>birth weight, reduced fetal neural tube defects).</w:t>
      </w:r>
      <w:r w:rsidR="008E7790" w:rsidRPr="00682502">
        <w:rPr>
          <w:rStyle w:val="FootnoteReference"/>
        </w:rPr>
        <w:footnoteReference w:id="260"/>
      </w:r>
      <w:r w:rsidR="00193942" w:rsidRPr="001A5B90">
        <w:t xml:space="preserve"> As such, intervening in this age group has the potential to impact the next generation, potentially interrupting a cycle of intergenerational malnutrition.</w:t>
      </w:r>
      <w:r w:rsidR="008E7790" w:rsidRPr="00682502">
        <w:rPr>
          <w:rStyle w:val="FootnoteReference"/>
        </w:rPr>
        <w:footnoteReference w:id="261"/>
      </w:r>
      <w:r w:rsidRPr="001A5B90">
        <w:t xml:space="preserve"> Additionally, ensuring adequate nutrition in this age groups can prevent many of the negative health consequences that were discussed above (reduced working capacity, micronutrient deficiency, osteoporosis).</w:t>
      </w:r>
    </w:p>
    <w:p w14:paraId="303EE496" w14:textId="42EAC533" w:rsidR="00193942" w:rsidRPr="001A5B90" w:rsidRDefault="00193942" w:rsidP="003847A6"/>
    <w:p w14:paraId="439C01CE" w14:textId="50AFE208" w:rsidR="00193942" w:rsidRPr="001A5B90" w:rsidRDefault="00193942" w:rsidP="003847A6">
      <w:r w:rsidRPr="001A5B90">
        <w:rPr>
          <w:b/>
        </w:rPr>
        <w:t xml:space="preserve">Interventions. </w:t>
      </w:r>
      <w:r w:rsidRPr="001A5B90">
        <w:t>Nutritional interventions often focus on young children and pregnant women, resulting in an absence of attention to the important issue of nutrition in adolescents. However, not only do interventions targeting adolescents have the potential for significant benefit, as described above, but schools provide an effective avenue to reach large numbers of adolescents.</w:t>
      </w:r>
      <w:r w:rsidR="008E7790" w:rsidRPr="00682502">
        <w:rPr>
          <w:rStyle w:val="FootnoteReference"/>
        </w:rPr>
        <w:footnoteReference w:id="262"/>
      </w:r>
      <w:r w:rsidRPr="001A5B90">
        <w:t xml:space="preserve"> Previous interventions have taken place in the school environment and have used peer education programs, each of which have shown some success.</w:t>
      </w:r>
      <w:r w:rsidR="008E7790" w:rsidRPr="00682502">
        <w:rPr>
          <w:rStyle w:val="FootnoteReference"/>
        </w:rPr>
        <w:footnoteReference w:id="263"/>
      </w:r>
      <w:r w:rsidRPr="001A5B90">
        <w:t xml:space="preserve"> Challenges to using schools as a place of intervention is that it may miss a large proportion of adolescents in some areas, if they do not attend school.</w:t>
      </w:r>
    </w:p>
    <w:p w14:paraId="4C3D2058" w14:textId="3EE24D9E" w:rsidR="00D62999" w:rsidRPr="001A5B90" w:rsidRDefault="00D62999" w:rsidP="00EC1C07"/>
    <w:p w14:paraId="0AC88809" w14:textId="7A617885" w:rsidR="00EC1C07" w:rsidRPr="00F03C75" w:rsidRDefault="00F03C75" w:rsidP="00EC1C07">
      <w:pPr>
        <w:rPr>
          <w:b/>
        </w:rPr>
      </w:pPr>
      <w:r>
        <w:rPr>
          <w:b/>
        </w:rPr>
        <w:t>Maternal Nutrition.</w:t>
      </w:r>
    </w:p>
    <w:p w14:paraId="7C90770B" w14:textId="77777777" w:rsidR="00F32524" w:rsidRPr="001A5B90" w:rsidRDefault="00F32524" w:rsidP="00EC1C07"/>
    <w:p w14:paraId="4B60BC5B" w14:textId="10AD0F14" w:rsidR="00A22350" w:rsidRDefault="00EE3497" w:rsidP="002C5AEA">
      <w:r w:rsidRPr="001A5B90">
        <w:rPr>
          <w:b/>
        </w:rPr>
        <w:t xml:space="preserve">Nutritional requirements. </w:t>
      </w:r>
      <w:r w:rsidR="00A22350">
        <w:t>Pregnant and lactating</w:t>
      </w:r>
      <w:r w:rsidRPr="001A5B90">
        <w:t xml:space="preserve"> </w:t>
      </w:r>
      <w:r w:rsidR="00EC1C07" w:rsidRPr="001A5B90">
        <w:t>women</w:t>
      </w:r>
      <w:r w:rsidRPr="001A5B90">
        <w:t xml:space="preserve"> have increased nutritional requirements. </w:t>
      </w:r>
      <w:r w:rsidR="0027355D">
        <w:t>Specifically, a pregnant woman needs approximately 300 extra calories per day, a</w:t>
      </w:r>
      <w:r w:rsidR="0095761A">
        <w:t>nd also has</w:t>
      </w:r>
      <w:r w:rsidR="0027355D">
        <w:t xml:space="preserve"> additional needs for vitamins and minerals, such as folic acid (to prevent fetal neural tube defects) and iron (to prevent anemia).</w:t>
      </w:r>
      <w:r w:rsidR="008E7790" w:rsidRPr="00682502">
        <w:rPr>
          <w:rStyle w:val="FootnoteReference"/>
        </w:rPr>
        <w:footnoteReference w:id="264"/>
      </w:r>
      <w:r w:rsidR="0027355D">
        <w:t xml:space="preserve"> </w:t>
      </w:r>
      <w:r w:rsidR="00A22350">
        <w:t>Similarly, lactating women also have increased nutritional requirements (additional 300-400 calories per day, and increased needs for iodine and choline).</w:t>
      </w:r>
      <w:r w:rsidR="008E7790" w:rsidRPr="00682502">
        <w:rPr>
          <w:rStyle w:val="FootnoteReference"/>
        </w:rPr>
        <w:footnoteReference w:id="265"/>
      </w:r>
      <w:r w:rsidR="00757D57">
        <w:t xml:space="preserve"> </w:t>
      </w:r>
    </w:p>
    <w:p w14:paraId="43208CC2" w14:textId="77777777" w:rsidR="00A22350" w:rsidRDefault="00A22350" w:rsidP="00A22350"/>
    <w:p w14:paraId="6C852ABA" w14:textId="2FF4255B" w:rsidR="004E39B1" w:rsidRPr="001A5B90" w:rsidRDefault="00D62999" w:rsidP="00A22350">
      <w:r w:rsidRPr="001A5B90">
        <w:t>Low BMI during pregnancy, as a result of failing to meet nutritional requirements, is related to increased maternal morbidity and mortality, as well as poor birth outcomes.</w:t>
      </w:r>
      <w:r w:rsidR="008E7790" w:rsidRPr="00682502">
        <w:rPr>
          <w:rStyle w:val="FootnoteReference"/>
        </w:rPr>
        <w:footnoteReference w:id="266"/>
      </w:r>
      <w:r w:rsidR="00EE3497" w:rsidRPr="001A5B90">
        <w:t xml:space="preserve"> Furthermore, short stature in women (a consequence of stunting as a child) can increase risk for poor birth outcomes and obstetric complications.</w:t>
      </w:r>
      <w:r w:rsidR="005E49F1" w:rsidRPr="00682502">
        <w:rPr>
          <w:rStyle w:val="FootnoteReference"/>
        </w:rPr>
        <w:footnoteReference w:id="267"/>
      </w:r>
      <w:r w:rsidRPr="001A5B90">
        <w:t xml:space="preserve"> As of 2014, 9% of women of reproductive age in Kenya were thin or undernourished</w:t>
      </w:r>
      <w:r w:rsidR="001142F1">
        <w:t xml:space="preserve"> (BMI&lt;18.5kg/m</w:t>
      </w:r>
      <w:r w:rsidR="001142F1" w:rsidRPr="001142F1">
        <w:rPr>
          <w:vertAlign w:val="superscript"/>
        </w:rPr>
        <w:t>2</w:t>
      </w:r>
      <w:r w:rsidR="001142F1">
        <w:t>)</w:t>
      </w:r>
      <w:r w:rsidRPr="001A5B90">
        <w:t>.</w:t>
      </w:r>
      <w:r w:rsidR="005E49F1" w:rsidRPr="00682502">
        <w:rPr>
          <w:rStyle w:val="FootnoteReference"/>
        </w:rPr>
        <w:footnoteReference w:id="268"/>
      </w:r>
      <w:r w:rsidR="00757D57" w:rsidRPr="001A5B90">
        <w:t xml:space="preserve"> </w:t>
      </w:r>
    </w:p>
    <w:p w14:paraId="596D7964" w14:textId="77777777" w:rsidR="00EE3497" w:rsidRPr="001A5B90" w:rsidRDefault="00EE3497" w:rsidP="002C5AEA"/>
    <w:p w14:paraId="5E12A79B" w14:textId="1ABCF227" w:rsidR="00EE3497" w:rsidRPr="001A5B90" w:rsidRDefault="004E39B1" w:rsidP="002C5AEA">
      <w:r w:rsidRPr="001A5B90">
        <w:rPr>
          <w:b/>
        </w:rPr>
        <w:t>Anemia</w:t>
      </w:r>
      <w:r w:rsidR="00AA7ED6" w:rsidRPr="001A5B90">
        <w:rPr>
          <w:b/>
        </w:rPr>
        <w:t xml:space="preserve"> and other micronutrient deficiencies</w:t>
      </w:r>
      <w:r w:rsidRPr="001A5B90">
        <w:rPr>
          <w:b/>
        </w:rPr>
        <w:t xml:space="preserve">. </w:t>
      </w:r>
      <w:r w:rsidR="00AA7ED6" w:rsidRPr="001A5B90">
        <w:t>Pregnant women are susceptible to anemia and other micronutrient deficiencies due to increased requirements during pregnancy.</w:t>
      </w:r>
      <w:r w:rsidR="00AA7ED6" w:rsidRPr="001A5B90">
        <w:rPr>
          <w:b/>
        </w:rPr>
        <w:t xml:space="preserve"> </w:t>
      </w:r>
      <w:r w:rsidRPr="001A5B90">
        <w:t>Prevalence of anemia among non-pregnant women in Kenya (age 15-49)</w:t>
      </w:r>
      <w:r w:rsidR="00EE3497" w:rsidRPr="001A5B90">
        <w:t xml:space="preserve"> was</w:t>
      </w:r>
      <w:r w:rsidRPr="001A5B90">
        <w:t xml:space="preserve"> 27.9% in 2019</w:t>
      </w:r>
      <w:r w:rsidR="00EE3497" w:rsidRPr="001A5B90">
        <w:t xml:space="preserve">, compared to </w:t>
      </w:r>
      <w:r w:rsidR="00EE3497" w:rsidRPr="001A5B90">
        <w:lastRenderedPageBreak/>
        <w:t>40.3% among pregnant women.</w:t>
      </w:r>
      <w:r w:rsidRPr="001A5B90">
        <w:t xml:space="preserve">  </w:t>
      </w:r>
      <w:r w:rsidR="00EE3497" w:rsidRPr="001A5B90">
        <w:t>The rate of anemia among pregnant women in Kenya has remained constant over the past decade</w:t>
      </w:r>
      <w:r w:rsidRPr="001A5B90">
        <w:t>, as in 2014</w:t>
      </w:r>
      <w:r w:rsidR="00EE3497" w:rsidRPr="001A5B90">
        <w:t>, the r</w:t>
      </w:r>
      <w:r w:rsidRPr="001A5B90">
        <w:t xml:space="preserve">ate was 40.5%, </w:t>
      </w:r>
      <w:r w:rsidR="00EE3497" w:rsidRPr="001A5B90">
        <w:t xml:space="preserve">and </w:t>
      </w:r>
      <w:r w:rsidRPr="001A5B90">
        <w:t>in 2010, rate was 41.3%.</w:t>
      </w:r>
      <w:r w:rsidR="005E49F1" w:rsidRPr="00682502">
        <w:rPr>
          <w:rStyle w:val="FootnoteReference"/>
        </w:rPr>
        <w:footnoteReference w:id="269"/>
      </w:r>
      <w:r w:rsidR="00AA7ED6" w:rsidRPr="001A5B90">
        <w:t xml:space="preserve"> </w:t>
      </w:r>
      <w:r w:rsidR="00EE3497" w:rsidRPr="001A5B90">
        <w:t>Iron deficiency and helminth infections are major contributors to anemia in pregnancy. Despite this, as of 2014, 30% of women in Kenya did not take iron supplements at all during their last pregnancy, and only 31% of women took deworming medications during their last pregnancy.</w:t>
      </w:r>
      <w:r w:rsidR="005E49F1" w:rsidRPr="00682502">
        <w:rPr>
          <w:rStyle w:val="FootnoteReference"/>
        </w:rPr>
        <w:footnoteReference w:id="270"/>
      </w:r>
      <w:r w:rsidR="00EE3497" w:rsidRPr="001A5B90">
        <w:t xml:space="preserve"> Preventing anemia during pregnancy is essential, as maternal anemia is associated with increased perinatal and maternal mortality (increased risk of premature delivery and low birth weight).</w:t>
      </w:r>
      <w:r w:rsidR="005E49F1" w:rsidRPr="00682502">
        <w:rPr>
          <w:rStyle w:val="FootnoteReference"/>
        </w:rPr>
        <w:footnoteReference w:id="271"/>
      </w:r>
      <w:r w:rsidR="001142F1">
        <w:t xml:space="preserve"> There is currently a lack of data on </w:t>
      </w:r>
      <w:r w:rsidR="006D7E9B">
        <w:t>rates of anemia among pregnant and lactating women in Kisii County.</w:t>
      </w:r>
    </w:p>
    <w:p w14:paraId="0DFBF323" w14:textId="77777777" w:rsidR="00EE3497" w:rsidRPr="001A5B90" w:rsidRDefault="00EE3497" w:rsidP="002C5AEA"/>
    <w:p w14:paraId="0AC1EDEA" w14:textId="16D7462D" w:rsidR="004E39B1" w:rsidRPr="001A5B90" w:rsidRDefault="00AA7ED6" w:rsidP="002C5AEA">
      <w:r w:rsidRPr="001A5B90">
        <w:t xml:space="preserve">In addition to anemia caused by iron </w:t>
      </w:r>
      <w:r w:rsidR="00EE3497" w:rsidRPr="001A5B90">
        <w:t>deficiency</w:t>
      </w:r>
      <w:r w:rsidRPr="001A5B90">
        <w:t>, pregnant women are at increased risk for other micronutrient deficiencies</w:t>
      </w:r>
      <w:r w:rsidR="00EE3497" w:rsidRPr="001A5B90">
        <w:t xml:space="preserve"> such as vitamin A and iodine</w:t>
      </w:r>
      <w:r w:rsidRPr="001A5B90">
        <w:t xml:space="preserve">. </w:t>
      </w:r>
      <w:r w:rsidR="00EE3497" w:rsidRPr="001A5B90">
        <w:t>Vitamin</w:t>
      </w:r>
      <w:r w:rsidRPr="001A5B90">
        <w:t xml:space="preserve"> A</w:t>
      </w:r>
      <w:r w:rsidR="00EE3497" w:rsidRPr="001A5B90">
        <w:t xml:space="preserve"> deficiency can lead to a weakened immune system and blindness, and iodine deficiency is related to adverse pregnancy outcomes such as fetal brain dame and stillbirths</w:t>
      </w:r>
      <w:r w:rsidRPr="001A5B90">
        <w:t>.</w:t>
      </w:r>
      <w:r w:rsidR="005E49F1" w:rsidRPr="00682502">
        <w:rPr>
          <w:rStyle w:val="FootnoteReference"/>
        </w:rPr>
        <w:footnoteReference w:id="272"/>
      </w:r>
      <w:r w:rsidR="005E49F1">
        <w:rPr>
          <w:vertAlign w:val="superscript"/>
        </w:rPr>
        <w:t>,</w:t>
      </w:r>
      <w:r w:rsidR="005E49F1" w:rsidRPr="00682502">
        <w:rPr>
          <w:rStyle w:val="FootnoteReference"/>
        </w:rPr>
        <w:footnoteReference w:id="273"/>
      </w:r>
      <w:r w:rsidR="00757D57">
        <w:t xml:space="preserve"> </w:t>
      </w:r>
      <w:r w:rsidR="00EE3497" w:rsidRPr="001A5B90">
        <w:t>Almost all women surveyed (99.5%) in 2014 lived with iodized salt in their homes.</w:t>
      </w:r>
      <w:r w:rsidR="005E49F1" w:rsidRPr="00682502">
        <w:rPr>
          <w:rStyle w:val="FootnoteReference"/>
        </w:rPr>
        <w:footnoteReference w:id="274"/>
      </w:r>
      <w:r w:rsidR="00757D57">
        <w:t xml:space="preserve"> </w:t>
      </w:r>
      <w:r w:rsidR="006D7E9B">
        <w:t xml:space="preserve">A 2014 cross-sectional study </w:t>
      </w:r>
      <w:r w:rsidR="00337819">
        <w:t>of</w:t>
      </w:r>
      <w:r w:rsidR="006D7E9B">
        <w:t xml:space="preserve"> </w:t>
      </w:r>
      <w:r w:rsidR="00337819">
        <w:t>women receiving care from a hospital in western Kenya</w:t>
      </w:r>
      <w:r w:rsidR="006D7E9B">
        <w:t xml:space="preserve"> found that 88% of </w:t>
      </w:r>
      <w:r w:rsidR="00337819">
        <w:t xml:space="preserve">pregnant </w:t>
      </w:r>
      <w:r w:rsidR="006D7E9B">
        <w:t>women did not meet their recommended dietary allowances of Vitamin A.</w:t>
      </w:r>
      <w:r w:rsidR="005E49F1" w:rsidRPr="00682502">
        <w:rPr>
          <w:rStyle w:val="FootnoteReference"/>
        </w:rPr>
        <w:footnoteReference w:id="275"/>
      </w:r>
      <w:r w:rsidR="00757D57" w:rsidRPr="001A5B90">
        <w:t xml:space="preserve"> </w:t>
      </w:r>
    </w:p>
    <w:p w14:paraId="35243FB2" w14:textId="64C0F4CC" w:rsidR="00421CD0" w:rsidRPr="001A5B90" w:rsidRDefault="00421CD0" w:rsidP="002C5AEA"/>
    <w:p w14:paraId="597C2048" w14:textId="6522FFAE" w:rsidR="00421CD0" w:rsidRPr="001A5B90" w:rsidRDefault="00421CD0" w:rsidP="002C5AEA">
      <w:r w:rsidRPr="001A5B90">
        <w:rPr>
          <w:b/>
        </w:rPr>
        <w:t>Health focus #4:</w:t>
      </w:r>
      <w:r w:rsidRPr="001A5B90">
        <w:t xml:space="preserve"> Adolescent Sexual and Reproductive Health</w:t>
      </w:r>
      <w:r w:rsidR="00270B83" w:rsidRPr="001A5B90">
        <w:t xml:space="preserve"> </w:t>
      </w:r>
    </w:p>
    <w:p w14:paraId="2A29121D" w14:textId="42291F2B" w:rsidR="00421CD0" w:rsidRPr="001A5B90" w:rsidRDefault="00421CD0" w:rsidP="002C5AEA">
      <w:pPr>
        <w:pStyle w:val="ListParagraph"/>
        <w:numPr>
          <w:ilvl w:val="0"/>
          <w:numId w:val="6"/>
        </w:numPr>
      </w:pPr>
      <w:r w:rsidRPr="001A5B90">
        <w:t>Current state of SRH education</w:t>
      </w:r>
    </w:p>
    <w:p w14:paraId="3E9D9AD3" w14:textId="04B3B092" w:rsidR="00270B83" w:rsidRPr="001A5B90" w:rsidRDefault="00270B83" w:rsidP="00270B83">
      <w:pPr>
        <w:pStyle w:val="ListParagraph"/>
        <w:numPr>
          <w:ilvl w:val="1"/>
          <w:numId w:val="6"/>
        </w:numPr>
      </w:pPr>
      <w:r w:rsidRPr="001A5B90">
        <w:t>Type of SRH education offered, where is it offered, who is it offered to (age, gender, etc)</w:t>
      </w:r>
    </w:p>
    <w:p w14:paraId="31CDBD86" w14:textId="7C8980C4" w:rsidR="00421CD0" w:rsidRPr="001A5B90" w:rsidRDefault="00421CD0" w:rsidP="00421CD0">
      <w:pPr>
        <w:pStyle w:val="ListParagraph"/>
        <w:numPr>
          <w:ilvl w:val="0"/>
          <w:numId w:val="6"/>
        </w:numPr>
      </w:pPr>
      <w:r w:rsidRPr="001A5B90">
        <w:t>Relevant outcomes/stats</w:t>
      </w:r>
    </w:p>
    <w:p w14:paraId="14DE313E" w14:textId="660876CA" w:rsidR="000A061E" w:rsidRDefault="00270B83" w:rsidP="000A061E">
      <w:pPr>
        <w:pStyle w:val="ListParagraph"/>
        <w:numPr>
          <w:ilvl w:val="1"/>
          <w:numId w:val="6"/>
        </w:numPr>
      </w:pPr>
      <w:r w:rsidRPr="001A5B90">
        <w:t>Rates of STIs, HIV, pregnancy</w:t>
      </w:r>
    </w:p>
    <w:p w14:paraId="31A14B95" w14:textId="34D8BC99" w:rsidR="00421CD0" w:rsidRPr="001A5B90" w:rsidRDefault="00421CD0" w:rsidP="00421CD0">
      <w:pPr>
        <w:pStyle w:val="ListParagraph"/>
        <w:numPr>
          <w:ilvl w:val="0"/>
          <w:numId w:val="6"/>
        </w:numPr>
      </w:pPr>
      <w:r w:rsidRPr="001A5B90">
        <w:t>Gaps/needs</w:t>
      </w:r>
      <w:r w:rsidR="00270B83" w:rsidRPr="001A5B90">
        <w:t xml:space="preserve"> in current SRH education</w:t>
      </w:r>
    </w:p>
    <w:p w14:paraId="3448F438" w14:textId="373D8453" w:rsidR="00BD3B1D" w:rsidRPr="001A5B90" w:rsidRDefault="00BD3B1D" w:rsidP="00E355E1"/>
    <w:p w14:paraId="4E0A2531" w14:textId="46EE1BF0" w:rsidR="00BD3B1D" w:rsidRDefault="00BD3B1D" w:rsidP="00E355E1">
      <w:r w:rsidRPr="001A5B90">
        <w:rPr>
          <w:b/>
        </w:rPr>
        <w:t>Health focus #</w:t>
      </w:r>
      <w:r w:rsidR="00FB6839" w:rsidRPr="001A5B90">
        <w:rPr>
          <w:b/>
        </w:rPr>
        <w:t>5</w:t>
      </w:r>
      <w:r w:rsidR="00CC1BBB">
        <w:rPr>
          <w:b/>
        </w:rPr>
        <w:t xml:space="preserve">: </w:t>
      </w:r>
      <w:r w:rsidR="00CC1BBB" w:rsidRPr="00CC1BBB">
        <w:t>HIV</w:t>
      </w:r>
      <w:r w:rsidR="003A5805" w:rsidRPr="00CC1BBB">
        <w:t xml:space="preserve"> </w:t>
      </w:r>
      <w:r w:rsidR="003A5805">
        <w:t>and S</w:t>
      </w:r>
      <w:r w:rsidR="00682502">
        <w:t>exual and gender-based violence (SGBV)</w:t>
      </w:r>
    </w:p>
    <w:p w14:paraId="7DDEFEB3" w14:textId="6EDE0BE4" w:rsidR="003A5805" w:rsidRDefault="003A5805" w:rsidP="00E355E1"/>
    <w:p w14:paraId="577B1533" w14:textId="573CC204" w:rsidR="003A5805" w:rsidRDefault="003A5805" w:rsidP="00E355E1">
      <w:pPr>
        <w:rPr>
          <w:b/>
        </w:rPr>
      </w:pPr>
      <w:r>
        <w:rPr>
          <w:b/>
        </w:rPr>
        <w:t xml:space="preserve">HIV. </w:t>
      </w:r>
    </w:p>
    <w:p w14:paraId="50EBF42F" w14:textId="07039C06" w:rsidR="00334D87" w:rsidRPr="00334D87" w:rsidRDefault="00334D87" w:rsidP="00E355E1">
      <w:pPr>
        <w:rPr>
          <w:rFonts w:ascii="Calibri" w:hAnsi="Calibri" w:cs="Calibri"/>
          <w:b/>
        </w:rPr>
      </w:pPr>
    </w:p>
    <w:p w14:paraId="56179BE0" w14:textId="6494D370" w:rsidR="00334D87" w:rsidRPr="00334D87" w:rsidRDefault="00334D87" w:rsidP="00334D87">
      <w:pPr>
        <w:rPr>
          <w:rFonts w:ascii="Calibri" w:hAnsi="Calibri" w:cs="Calibri"/>
          <w:b/>
          <w:bCs/>
        </w:rPr>
      </w:pPr>
      <w:r w:rsidRPr="00334D87">
        <w:rPr>
          <w:rFonts w:ascii="Calibri" w:hAnsi="Calibri" w:cs="Calibri"/>
          <w:b/>
          <w:bCs/>
        </w:rPr>
        <w:t>Global</w:t>
      </w:r>
      <w:r>
        <w:rPr>
          <w:rFonts w:ascii="Calibri" w:hAnsi="Calibri" w:cs="Calibri"/>
          <w:b/>
          <w:bCs/>
        </w:rPr>
        <w:t xml:space="preserve">. </w:t>
      </w:r>
      <w:r w:rsidRPr="00334D87">
        <w:rPr>
          <w:rFonts w:ascii="Calibri" w:hAnsi="Calibri" w:cs="Calibri"/>
        </w:rPr>
        <w:t>As of 2020 there were 1.5 million new cases of HIV and 37.7 million people living with HIV worldwide.</w:t>
      </w:r>
      <w:r w:rsidR="005E49F1" w:rsidRPr="00682502">
        <w:rPr>
          <w:rStyle w:val="FootnoteReference"/>
        </w:rPr>
        <w:footnoteReference w:id="276"/>
      </w:r>
      <w:r w:rsidRPr="00334D87">
        <w:rPr>
          <w:rFonts w:ascii="Calibri" w:hAnsi="Calibri" w:cs="Calibri"/>
        </w:rPr>
        <w:t xml:space="preserve"> Furthermore, in 2020, an estimate 680,000 people died from HIV-related </w:t>
      </w:r>
      <w:r w:rsidRPr="00334D87">
        <w:rPr>
          <w:rFonts w:ascii="Calibri" w:hAnsi="Calibri" w:cs="Calibri"/>
        </w:rPr>
        <w:lastRenderedPageBreak/>
        <w:t>causes around the world.</w:t>
      </w:r>
      <w:r w:rsidR="005E49F1" w:rsidRPr="00682502">
        <w:rPr>
          <w:rStyle w:val="FootnoteReference"/>
        </w:rPr>
        <w:footnoteReference w:id="277"/>
      </w:r>
      <w:r w:rsidRPr="00334D87">
        <w:rPr>
          <w:rFonts w:ascii="Calibri" w:hAnsi="Calibri" w:cs="Calibri"/>
        </w:rPr>
        <w:t xml:space="preserve"> The African continent bears the greatest burden of new HIV infections and people living with HIV (PLWHIV). In 2020, over 25 million people in Africa were living with HIV, and there were 880,000 new HIV infections. These cases contributed to 460,000 HIV-related deaths in Africa in 2020.</w:t>
      </w:r>
      <w:r w:rsidR="005E49F1" w:rsidRPr="00682502">
        <w:rPr>
          <w:rStyle w:val="FootnoteReference"/>
        </w:rPr>
        <w:footnoteReference w:id="278"/>
      </w:r>
      <w:r w:rsidRPr="00334D87">
        <w:rPr>
          <w:rFonts w:ascii="Calibri" w:hAnsi="Calibri" w:cs="Calibri"/>
        </w:rPr>
        <w:t xml:space="preserve"> </w:t>
      </w:r>
    </w:p>
    <w:p w14:paraId="2368A346" w14:textId="77777777" w:rsidR="00334D87" w:rsidRPr="00334D87" w:rsidRDefault="00334D87" w:rsidP="00334D87">
      <w:pPr>
        <w:rPr>
          <w:rFonts w:ascii="Calibri" w:hAnsi="Calibri" w:cs="Calibri"/>
        </w:rPr>
      </w:pPr>
    </w:p>
    <w:p w14:paraId="0B1632C9" w14:textId="08B75C78" w:rsidR="00334D87" w:rsidRPr="00334D87" w:rsidRDefault="00334D87" w:rsidP="00334D87">
      <w:pPr>
        <w:rPr>
          <w:rFonts w:ascii="Calibri" w:hAnsi="Calibri" w:cs="Calibri"/>
          <w:b/>
          <w:bCs/>
        </w:rPr>
      </w:pPr>
      <w:r w:rsidRPr="00334D87">
        <w:rPr>
          <w:rFonts w:ascii="Calibri" w:hAnsi="Calibri" w:cs="Calibri"/>
          <w:b/>
          <w:bCs/>
        </w:rPr>
        <w:t>Kenya</w:t>
      </w:r>
      <w:r>
        <w:rPr>
          <w:rFonts w:ascii="Calibri" w:hAnsi="Calibri" w:cs="Calibri"/>
          <w:b/>
          <w:bCs/>
        </w:rPr>
        <w:t xml:space="preserve">. </w:t>
      </w:r>
      <w:r w:rsidRPr="00334D87">
        <w:rPr>
          <w:rFonts w:ascii="Calibri" w:hAnsi="Calibri" w:cs="Calibri"/>
        </w:rPr>
        <w:t>As of 2017, there were approximately 1.5 million people in Kenya living with HIV.</w:t>
      </w:r>
      <w:r w:rsidR="005E49F1" w:rsidRPr="00682502">
        <w:rPr>
          <w:rStyle w:val="FootnoteReference"/>
        </w:rPr>
        <w:footnoteReference w:id="279"/>
      </w:r>
      <w:r w:rsidRPr="00334D87">
        <w:rPr>
          <w:rFonts w:ascii="Calibri" w:hAnsi="Calibri" w:cs="Calibri"/>
        </w:rPr>
        <w:t xml:space="preserve"> Estimates from 2017 showed the incidence of HIV in Kenya was 4.9%, while the incidence in Kisii County was 4.4%.</w:t>
      </w:r>
      <w:r w:rsidR="005E49F1" w:rsidRPr="00682502">
        <w:rPr>
          <w:rStyle w:val="FootnoteReference"/>
        </w:rPr>
        <w:footnoteReference w:id="280"/>
      </w:r>
      <w:r w:rsidRPr="00334D87">
        <w:rPr>
          <w:rFonts w:ascii="Calibri" w:hAnsi="Calibri" w:cs="Calibri"/>
        </w:rPr>
        <w:t xml:space="preserve"> This represents a total of 52,800 new cases of HIV across all ages, and 44,800 new cases among adults aged 15 and older and 8,000 new cases among children under 14 years.</w:t>
      </w:r>
      <w:r w:rsidR="005E49F1" w:rsidRPr="00682502">
        <w:rPr>
          <w:rStyle w:val="FootnoteReference"/>
        </w:rPr>
        <w:footnoteReference w:id="281"/>
      </w:r>
      <w:r w:rsidRPr="00334D87">
        <w:rPr>
          <w:rFonts w:ascii="Calibri" w:hAnsi="Calibri" w:cs="Calibri"/>
        </w:rPr>
        <w:t xml:space="preserve"> There has been a decline in new cases of HIV in Kenya in recent years, from 77,200 in 2010 to 52,800 new cases in 2017, a decrease of 32%.</w:t>
      </w:r>
      <w:r w:rsidR="005E49F1" w:rsidRPr="00682502">
        <w:rPr>
          <w:rStyle w:val="FootnoteReference"/>
        </w:rPr>
        <w:footnoteReference w:id="282"/>
      </w:r>
    </w:p>
    <w:p w14:paraId="39DE2235" w14:textId="77777777" w:rsidR="00334D87" w:rsidRDefault="00334D87" w:rsidP="00334D87">
      <w:pPr>
        <w:rPr>
          <w:rFonts w:ascii="Calibri" w:hAnsi="Calibri" w:cs="Calibri"/>
          <w:b/>
        </w:rPr>
      </w:pPr>
    </w:p>
    <w:p w14:paraId="6DA6EE7B" w14:textId="6805464F" w:rsidR="00334D87" w:rsidRDefault="00334D87" w:rsidP="00334D87">
      <w:pPr>
        <w:rPr>
          <w:rFonts w:ascii="Calibri" w:hAnsi="Calibri" w:cs="Calibri"/>
        </w:rPr>
      </w:pPr>
      <w:r w:rsidRPr="00334D87">
        <w:rPr>
          <w:rFonts w:ascii="Calibri" w:hAnsi="Calibri" w:cs="Calibri"/>
          <w:b/>
        </w:rPr>
        <w:t>Treatment</w:t>
      </w:r>
      <w:r>
        <w:rPr>
          <w:rFonts w:ascii="Calibri" w:hAnsi="Calibri" w:cs="Calibri"/>
          <w:b/>
        </w:rPr>
        <w:t xml:space="preserve"> in Kenya</w:t>
      </w:r>
      <w:r w:rsidRPr="00334D87">
        <w:rPr>
          <w:rFonts w:ascii="Calibri" w:hAnsi="Calibri" w:cs="Calibri"/>
          <w:b/>
        </w:rPr>
        <w:t xml:space="preserve">. </w:t>
      </w:r>
      <w:r w:rsidRPr="00334D87">
        <w:rPr>
          <w:rFonts w:ascii="Calibri" w:hAnsi="Calibri" w:cs="Calibri"/>
        </w:rPr>
        <w:t>In 2014, the Join United Nations Program on HIV/AIDS (UNAIDS) set a goal of by 2020, to have 90% of PLWHIV to know their HIV status, 90% of people with diagnosed HIV infection to received sustained antiretroviral therapy (ART), and 90% of people receiving ART to have viral suppression.</w:t>
      </w:r>
      <w:r w:rsidR="005E49F1" w:rsidRPr="00682502">
        <w:rPr>
          <w:rStyle w:val="FootnoteReference"/>
        </w:rPr>
        <w:footnoteReference w:id="283"/>
      </w:r>
      <w:r w:rsidRPr="00334D87">
        <w:rPr>
          <w:rFonts w:ascii="Calibri" w:hAnsi="Calibri" w:cs="Calibri"/>
        </w:rPr>
        <w:t xml:space="preserve"> As of 2017, Kenya had not met these goals, as overall ART coverage was at 75%, and ART coverage for children was at 82%.</w:t>
      </w:r>
      <w:r w:rsidR="005E49F1" w:rsidRPr="00682502">
        <w:rPr>
          <w:rStyle w:val="FootnoteReference"/>
        </w:rPr>
        <w:footnoteReference w:id="284"/>
      </w:r>
      <w:r w:rsidRPr="00334D87">
        <w:rPr>
          <w:rFonts w:ascii="Calibri" w:hAnsi="Calibri" w:cs="Calibri"/>
        </w:rPr>
        <w:t xml:space="preserve"> In Kisii County, 79% of adults with HIV are on ART, and 80% of children with HIV were on ART in 2017.</w:t>
      </w:r>
      <w:r w:rsidR="005E49F1" w:rsidRPr="00682502">
        <w:rPr>
          <w:rStyle w:val="FootnoteReference"/>
        </w:rPr>
        <w:footnoteReference w:id="285"/>
      </w:r>
      <w:r w:rsidRPr="00334D87">
        <w:rPr>
          <w:rFonts w:ascii="Calibri" w:hAnsi="Calibri" w:cs="Calibri"/>
        </w:rPr>
        <w:t xml:space="preserve"> There is historic evidence to suggest there may be disparities in who has access to treatment. Specifically, those living in rural areas, younger age, and recent recreational drug use were associated with lower likelihood of not being treated with ART.</w:t>
      </w:r>
      <w:r w:rsidR="005E49F1" w:rsidRPr="00682502">
        <w:rPr>
          <w:rStyle w:val="FootnoteReference"/>
        </w:rPr>
        <w:footnoteReference w:id="286"/>
      </w:r>
      <w:r w:rsidR="00757D57">
        <w:rPr>
          <w:rFonts w:ascii="Calibri" w:hAnsi="Calibri" w:cs="Calibri"/>
        </w:rPr>
        <w:t xml:space="preserve"> </w:t>
      </w:r>
    </w:p>
    <w:p w14:paraId="05755403" w14:textId="77777777" w:rsidR="00334D87" w:rsidRPr="00334D87" w:rsidRDefault="00334D87" w:rsidP="00334D87">
      <w:pPr>
        <w:rPr>
          <w:rFonts w:ascii="Calibri" w:hAnsi="Calibri" w:cs="Calibri"/>
        </w:rPr>
      </w:pPr>
    </w:p>
    <w:p w14:paraId="06AC361D" w14:textId="12D67720" w:rsidR="00334D87" w:rsidRPr="00334D87" w:rsidRDefault="00334D87" w:rsidP="00334D87">
      <w:pPr>
        <w:rPr>
          <w:rFonts w:ascii="Calibri" w:hAnsi="Calibri" w:cs="Calibri"/>
          <w:b/>
          <w:bCs/>
        </w:rPr>
      </w:pPr>
      <w:r w:rsidRPr="00334D87">
        <w:rPr>
          <w:rFonts w:ascii="Calibri" w:hAnsi="Calibri" w:cs="Calibri"/>
          <w:b/>
          <w:bCs/>
        </w:rPr>
        <w:t>Preventing infections</w:t>
      </w:r>
      <w:r>
        <w:rPr>
          <w:rFonts w:ascii="Calibri" w:hAnsi="Calibri" w:cs="Calibri"/>
          <w:b/>
          <w:bCs/>
        </w:rPr>
        <w:t xml:space="preserve"> with </w:t>
      </w:r>
      <w:r w:rsidRPr="00334D87">
        <w:rPr>
          <w:rFonts w:ascii="Calibri" w:hAnsi="Calibri" w:cs="Calibri"/>
          <w:b/>
          <w:bCs/>
        </w:rPr>
        <w:t>PrEP.</w:t>
      </w:r>
      <w:r>
        <w:rPr>
          <w:rFonts w:ascii="Calibri" w:hAnsi="Calibri" w:cs="Calibri"/>
          <w:b/>
          <w:bCs/>
        </w:rPr>
        <w:t xml:space="preserve"> </w:t>
      </w:r>
      <w:r w:rsidRPr="00334D87">
        <w:rPr>
          <w:rFonts w:ascii="Calibri" w:hAnsi="Calibri" w:cs="Calibri"/>
        </w:rPr>
        <w:t>On</w:t>
      </w:r>
      <w:r>
        <w:rPr>
          <w:rFonts w:ascii="Calibri" w:hAnsi="Calibri" w:cs="Calibri"/>
        </w:rPr>
        <w:t>e</w:t>
      </w:r>
      <w:r w:rsidRPr="00334D87">
        <w:rPr>
          <w:rFonts w:ascii="Calibri" w:hAnsi="Calibri" w:cs="Calibri"/>
        </w:rPr>
        <w:t xml:space="preserve"> method to prevent spread of HIV infections is pre-exposure prophylaxis (PrEP), a medication that can reduce the risk of getting HIV from sex by 99%.</w:t>
      </w:r>
      <w:r w:rsidR="005E49F1" w:rsidRPr="00682502">
        <w:rPr>
          <w:rStyle w:val="FootnoteReference"/>
        </w:rPr>
        <w:footnoteReference w:id="287"/>
      </w:r>
      <w:r w:rsidRPr="00334D87">
        <w:rPr>
          <w:rFonts w:ascii="Calibri" w:hAnsi="Calibri" w:cs="Calibri"/>
        </w:rPr>
        <w:t xml:space="preserve"> In 2017, Kenya committed to incorporating PrEP as a part of the HIV prevention strategy in the country.</w:t>
      </w:r>
      <w:r w:rsidR="005E49F1" w:rsidRPr="00682502">
        <w:rPr>
          <w:rStyle w:val="FootnoteReference"/>
        </w:rPr>
        <w:footnoteReference w:id="288"/>
      </w:r>
      <w:r w:rsidRPr="00334D87">
        <w:rPr>
          <w:rFonts w:ascii="Calibri" w:hAnsi="Calibri" w:cs="Calibri"/>
        </w:rPr>
        <w:t xml:space="preserve"> One analysis following the implementation of PrEP availability at 25 pubic HIV care clinics showed that there was high uptake (average of 7.5 PrEP initiations per month at each clinic), with reasonable continuation (57% at 1 month and 44% at 3 months).</w:t>
      </w:r>
      <w:r w:rsidR="005E49F1" w:rsidRPr="00682502">
        <w:rPr>
          <w:rStyle w:val="FootnoteReference"/>
        </w:rPr>
        <w:footnoteReference w:id="289"/>
      </w:r>
      <w:r w:rsidRPr="00334D87">
        <w:rPr>
          <w:rFonts w:ascii="Calibri" w:hAnsi="Calibri" w:cs="Calibri"/>
        </w:rPr>
        <w:t xml:space="preserve"> Another program called PrIYA, the PrEP Implementation for Young Women and Adolescents </w:t>
      </w:r>
      <w:r w:rsidRPr="00334D87">
        <w:rPr>
          <w:rFonts w:ascii="Calibri" w:hAnsi="Calibri" w:cs="Calibri"/>
        </w:rPr>
        <w:lastRenderedPageBreak/>
        <w:t>initiative, has had success in implementing PreP into standard care for antenatal/postnatal care in one research area in Kenya.</w:t>
      </w:r>
      <w:r w:rsidR="005E49F1" w:rsidRPr="00682502">
        <w:rPr>
          <w:rStyle w:val="FootnoteReference"/>
        </w:rPr>
        <w:footnoteReference w:id="290"/>
      </w:r>
      <w:r w:rsidRPr="00334D87">
        <w:rPr>
          <w:rFonts w:ascii="Calibri" w:hAnsi="Calibri" w:cs="Calibri"/>
        </w:rPr>
        <w:t xml:space="preserve"> Analysis of this type of program showed that counseling about PrEP along with other antenatal or postnatal activities only added 18 minutes to the total care time.</w:t>
      </w:r>
      <w:r w:rsidR="005E49F1" w:rsidRPr="00682502">
        <w:rPr>
          <w:rStyle w:val="FootnoteReference"/>
        </w:rPr>
        <w:footnoteReference w:id="291"/>
      </w:r>
      <w:r w:rsidR="005E49F1" w:rsidRPr="00334D87">
        <w:rPr>
          <w:rFonts w:ascii="Calibri" w:hAnsi="Calibri" w:cs="Calibri"/>
          <w:b/>
          <w:bCs/>
        </w:rPr>
        <w:t xml:space="preserve"> </w:t>
      </w:r>
    </w:p>
    <w:p w14:paraId="18D26305" w14:textId="10277974" w:rsidR="00F7514A" w:rsidRDefault="00F7514A" w:rsidP="00F7514A"/>
    <w:p w14:paraId="556B133B" w14:textId="6E12B4B6" w:rsidR="00F7514A" w:rsidRPr="00F7514A" w:rsidRDefault="00F7514A" w:rsidP="00F7514A">
      <w:r>
        <w:rPr>
          <w:b/>
        </w:rPr>
        <w:t xml:space="preserve">SGBV. </w:t>
      </w:r>
      <w:r>
        <w:t>As of 2017, 22.7% of women 15 years or older in Kenya experienced intimate partner violence (IPV) in the past 12 months.</w:t>
      </w:r>
      <w:r w:rsidR="005E49F1" w:rsidRPr="00682502">
        <w:rPr>
          <w:rStyle w:val="FootnoteReference"/>
        </w:rPr>
        <w:footnoteReference w:id="292"/>
      </w:r>
      <w:r>
        <w:t xml:space="preserve"> Furthermore, 11.5 deaths per 100,000 were estimated to be caused by IPV in Kenya in 2017.</w:t>
      </w:r>
      <w:r w:rsidR="005E49F1" w:rsidRPr="00682502">
        <w:rPr>
          <w:rStyle w:val="FootnoteReference"/>
        </w:rPr>
        <w:footnoteReference w:id="293"/>
      </w:r>
      <w:r>
        <w:t xml:space="preserve"> As of 2017, an estimated 21.7% of women and men aged 18-29 years experienced sexual violence before the age of 18.</w:t>
      </w:r>
      <w:r w:rsidR="005E49F1" w:rsidRPr="00682502">
        <w:rPr>
          <w:rStyle w:val="FootnoteReference"/>
        </w:rPr>
        <w:footnoteReference w:id="294"/>
      </w:r>
      <w:r w:rsidR="005E49F1" w:rsidRPr="00F7514A">
        <w:t xml:space="preserve"> </w:t>
      </w:r>
    </w:p>
    <w:bookmarkEnd w:id="0"/>
    <w:bookmarkEnd w:id="1"/>
    <w:p w14:paraId="10BAEAE6" w14:textId="260C3F8B" w:rsidR="009E2628" w:rsidRDefault="009E2628" w:rsidP="009E2628"/>
    <w:p w14:paraId="3EEE87AC" w14:textId="63855DB1" w:rsidR="00820125" w:rsidRDefault="00820125" w:rsidP="009E2628"/>
    <w:p w14:paraId="0E68392E" w14:textId="77777777" w:rsidR="00682502" w:rsidRDefault="00682502" w:rsidP="009E2628"/>
    <w:p w14:paraId="06563996" w14:textId="23BEABE5" w:rsidR="00820125" w:rsidRDefault="00357D80" w:rsidP="009E2628">
      <w:pPr>
        <w:rPr>
          <w:b/>
        </w:rPr>
      </w:pPr>
      <w:r>
        <w:rPr>
          <w:b/>
        </w:rPr>
        <w:t>Table 1. Maternal, neonatal, and c</w:t>
      </w:r>
      <w:r w:rsidR="00820125">
        <w:rPr>
          <w:b/>
        </w:rPr>
        <w:t>hild and mortality</w:t>
      </w:r>
    </w:p>
    <w:tbl>
      <w:tblPr>
        <w:tblStyle w:val="TableGrid"/>
        <w:tblW w:w="11601" w:type="dxa"/>
        <w:tblInd w:w="-1175" w:type="dxa"/>
        <w:tblLook w:val="04A0" w:firstRow="1" w:lastRow="0" w:firstColumn="1" w:lastColumn="0" w:noHBand="0" w:noVBand="1"/>
      </w:tblPr>
      <w:tblGrid>
        <w:gridCol w:w="2199"/>
        <w:gridCol w:w="2031"/>
        <w:gridCol w:w="1457"/>
        <w:gridCol w:w="1963"/>
        <w:gridCol w:w="2070"/>
        <w:gridCol w:w="1881"/>
      </w:tblGrid>
      <w:tr w:rsidR="00E162DB" w:rsidRPr="00357D80" w14:paraId="7B5AEFB3" w14:textId="77777777" w:rsidTr="00357D80">
        <w:trPr>
          <w:trHeight w:val="287"/>
        </w:trPr>
        <w:tc>
          <w:tcPr>
            <w:tcW w:w="2199" w:type="dxa"/>
          </w:tcPr>
          <w:p w14:paraId="6BD60E90" w14:textId="77777777" w:rsidR="00357D80" w:rsidRDefault="00357D80" w:rsidP="009E2628"/>
        </w:tc>
        <w:tc>
          <w:tcPr>
            <w:tcW w:w="3488" w:type="dxa"/>
            <w:gridSpan w:val="2"/>
          </w:tcPr>
          <w:p w14:paraId="152640B0" w14:textId="485DD3EB" w:rsidR="00357D80" w:rsidRPr="00357D80" w:rsidRDefault="00357D80" w:rsidP="00357D80">
            <w:pPr>
              <w:jc w:val="center"/>
              <w:rPr>
                <w:b/>
              </w:rPr>
            </w:pPr>
            <w:r w:rsidRPr="00357D80">
              <w:rPr>
                <w:b/>
              </w:rPr>
              <w:t>Kenya</w:t>
            </w:r>
          </w:p>
        </w:tc>
        <w:tc>
          <w:tcPr>
            <w:tcW w:w="4033" w:type="dxa"/>
            <w:gridSpan w:val="2"/>
          </w:tcPr>
          <w:p w14:paraId="531E78E3" w14:textId="07C8C805" w:rsidR="00357D80" w:rsidRPr="00357D80" w:rsidRDefault="00357D80" w:rsidP="00357D80">
            <w:pPr>
              <w:jc w:val="center"/>
              <w:rPr>
                <w:b/>
              </w:rPr>
            </w:pPr>
            <w:r w:rsidRPr="00357D80">
              <w:rPr>
                <w:b/>
              </w:rPr>
              <w:t>Kisii County</w:t>
            </w:r>
          </w:p>
        </w:tc>
        <w:tc>
          <w:tcPr>
            <w:tcW w:w="1881" w:type="dxa"/>
          </w:tcPr>
          <w:p w14:paraId="6279F28D" w14:textId="77A6BFF1" w:rsidR="00357D80" w:rsidRPr="00357D80" w:rsidRDefault="00357D80" w:rsidP="00357D80">
            <w:pPr>
              <w:jc w:val="center"/>
              <w:rPr>
                <w:b/>
              </w:rPr>
            </w:pPr>
            <w:r w:rsidRPr="00357D80">
              <w:rPr>
                <w:b/>
              </w:rPr>
              <w:t>KPC data</w:t>
            </w:r>
          </w:p>
        </w:tc>
      </w:tr>
      <w:tr w:rsidR="00E162DB" w:rsidRPr="00357D80" w14:paraId="0B431DE0" w14:textId="77777777" w:rsidTr="00E162DB">
        <w:trPr>
          <w:trHeight w:val="287"/>
        </w:trPr>
        <w:tc>
          <w:tcPr>
            <w:tcW w:w="2199" w:type="dxa"/>
          </w:tcPr>
          <w:p w14:paraId="6C1CBD8A" w14:textId="77777777" w:rsidR="00357D80" w:rsidRDefault="00357D80" w:rsidP="009E2628">
            <w:pPr>
              <w:rPr>
                <w:rFonts w:ascii="Calibri" w:hAnsi="Calibri" w:cs="Calibri"/>
                <w:color w:val="000000"/>
              </w:rPr>
            </w:pPr>
          </w:p>
        </w:tc>
        <w:tc>
          <w:tcPr>
            <w:tcW w:w="2031" w:type="dxa"/>
          </w:tcPr>
          <w:p w14:paraId="25A038FE" w14:textId="2237EB4A" w:rsidR="00357D80" w:rsidRPr="00357D80" w:rsidRDefault="00357D80" w:rsidP="009E2628">
            <w:pPr>
              <w:rPr>
                <w:b/>
              </w:rPr>
            </w:pPr>
            <w:r w:rsidRPr="00357D80">
              <w:rPr>
                <w:b/>
              </w:rPr>
              <w:t>2014 KDHS data</w:t>
            </w:r>
            <w:r w:rsidR="005E49F1" w:rsidRPr="00682502">
              <w:rPr>
                <w:rStyle w:val="FootnoteReference"/>
              </w:rPr>
              <w:footnoteReference w:id="295"/>
            </w:r>
            <w:r w:rsidRPr="00357D80">
              <w:rPr>
                <w:b/>
              </w:rPr>
              <w:fldChar w:fldCharType="begin" w:fldLock="1"/>
            </w:r>
            <w:r w:rsidR="00E53E74">
              <w:rPr>
                <w:b/>
              </w:rPr>
              <w:instrText>ADDIN CSL_CITATION {"citationItems":[{"id":"ITEM-1","itemData":{"author":[{"dropping-particle":"","family":"National Bureau of Statistics Nairobi","given":"Kenya","non-dropping-particle":"","parse-names":false,"suffix":""}],"id":"ITEM-1","issued":{"date-parts":[["2015"]]},"title":"Republic of Kenya Kenya Demographic and Health Survey 2014","type":"article-journal"},"uris":["http://www.mendeley.com/documents/?uuid=20877c67-d977-331f-ab2e-bcc3d2e62c1b"]}],"mendeley":{"formattedCitation":"&lt;sup&gt;4&lt;/sup&gt;","plainTextFormattedCitation":"4","previouslyFormattedCitation":"&lt;sup&gt;4&lt;/sup&gt;"},"properties":{"noteIndex":0},"schema":"https://github.com/citation-style-language/schema/raw/master/csl-citation.json"}</w:instrText>
            </w:r>
            <w:r w:rsidRPr="00357D80">
              <w:rPr>
                <w:b/>
              </w:rPr>
              <w:fldChar w:fldCharType="separate"/>
            </w:r>
            <w:r w:rsidR="00E53E74" w:rsidRPr="00E53E74">
              <w:rPr>
                <w:noProof/>
                <w:vertAlign w:val="superscript"/>
              </w:rPr>
              <w:t>4</w:t>
            </w:r>
            <w:r w:rsidRPr="00357D80">
              <w:rPr>
                <w:b/>
              </w:rPr>
              <w:fldChar w:fldCharType="end"/>
            </w:r>
          </w:p>
        </w:tc>
        <w:tc>
          <w:tcPr>
            <w:tcW w:w="1457" w:type="dxa"/>
          </w:tcPr>
          <w:p w14:paraId="0EB72472" w14:textId="705AD834" w:rsidR="00357D80" w:rsidRPr="00357D80" w:rsidRDefault="00357D80" w:rsidP="009E2628">
            <w:pPr>
              <w:rPr>
                <w:b/>
              </w:rPr>
            </w:pPr>
            <w:r w:rsidRPr="00357D80">
              <w:rPr>
                <w:b/>
              </w:rPr>
              <w:t>Other data source</w:t>
            </w:r>
          </w:p>
        </w:tc>
        <w:tc>
          <w:tcPr>
            <w:tcW w:w="1963" w:type="dxa"/>
          </w:tcPr>
          <w:p w14:paraId="22FDD76C" w14:textId="3E1ED886" w:rsidR="00357D80" w:rsidRPr="00357D80" w:rsidRDefault="00357D80" w:rsidP="009E2628">
            <w:pPr>
              <w:rPr>
                <w:b/>
              </w:rPr>
            </w:pPr>
            <w:r w:rsidRPr="00357D80">
              <w:rPr>
                <w:b/>
              </w:rPr>
              <w:t>2014 KDHS data</w:t>
            </w:r>
            <w:r>
              <w:rPr>
                <w:b/>
              </w:rPr>
              <w:fldChar w:fldCharType="begin" w:fldLock="1"/>
            </w:r>
            <w:r w:rsidR="00E53E74">
              <w:rPr>
                <w:b/>
              </w:rPr>
              <w:instrText>ADDIN CSL_CITATION {"citationItems":[{"id":"ITEM-1","itemData":{"author":[{"dropping-particle":"","family":"National Bureau of Statistics Nairobi","given":"Kenya","non-dropping-particle":"","parse-names":false,"suffix":""}],"id":"ITEM-1","issued":{"date-parts":[["2015"]]},"title":"Republic of Kenya Kenya Demographic and Health Survey 2014","type":"article-journal"},"uris":["http://www.mendeley.com/documents/?uuid=20877c67-d977-331f-ab2e-bcc3d2e62c1b"]}],"mendeley":{"formattedCitation":"&lt;sup&gt;4&lt;/sup&gt;","plainTextFormattedCitation":"4","previouslyFormattedCitation":"&lt;sup&gt;4&lt;/sup&gt;"},"properties":{"noteIndex":0},"schema":"https://github.com/citation-style-language/schema/raw/master/csl-citation.json"}</w:instrText>
            </w:r>
            <w:r>
              <w:rPr>
                <w:b/>
              </w:rPr>
              <w:fldChar w:fldCharType="separate"/>
            </w:r>
            <w:r w:rsidR="00E53E74" w:rsidRPr="00E53E74">
              <w:rPr>
                <w:noProof/>
                <w:vertAlign w:val="superscript"/>
              </w:rPr>
              <w:t>4</w:t>
            </w:r>
            <w:r>
              <w:rPr>
                <w:b/>
              </w:rPr>
              <w:fldChar w:fldCharType="end"/>
            </w:r>
          </w:p>
        </w:tc>
        <w:tc>
          <w:tcPr>
            <w:tcW w:w="2070" w:type="dxa"/>
          </w:tcPr>
          <w:p w14:paraId="37F972A2" w14:textId="1AF8FF3B" w:rsidR="00357D80" w:rsidRPr="00357D80" w:rsidRDefault="00357D80" w:rsidP="009E2628">
            <w:pPr>
              <w:rPr>
                <w:b/>
              </w:rPr>
            </w:pPr>
            <w:r w:rsidRPr="00357D80">
              <w:rPr>
                <w:b/>
              </w:rPr>
              <w:t>Other data source</w:t>
            </w:r>
          </w:p>
        </w:tc>
        <w:tc>
          <w:tcPr>
            <w:tcW w:w="1881" w:type="dxa"/>
          </w:tcPr>
          <w:p w14:paraId="7F3E11F0" w14:textId="53106B83" w:rsidR="00357D80" w:rsidRPr="00357D80" w:rsidRDefault="00357D80" w:rsidP="009E2628">
            <w:pPr>
              <w:rPr>
                <w:b/>
              </w:rPr>
            </w:pPr>
          </w:p>
        </w:tc>
      </w:tr>
      <w:tr w:rsidR="00E162DB" w14:paraId="370AC52A" w14:textId="77777777" w:rsidTr="00E162DB">
        <w:trPr>
          <w:trHeight w:val="574"/>
        </w:trPr>
        <w:tc>
          <w:tcPr>
            <w:tcW w:w="2199" w:type="dxa"/>
          </w:tcPr>
          <w:p w14:paraId="3A44B795" w14:textId="63AE6C5B" w:rsidR="00357D80" w:rsidRPr="00E162DB" w:rsidRDefault="00357D80" w:rsidP="009E2628">
            <w:pPr>
              <w:rPr>
                <w:rFonts w:ascii="Calibri" w:hAnsi="Calibri" w:cs="Calibri"/>
                <w:color w:val="000000"/>
              </w:rPr>
            </w:pPr>
            <w:r w:rsidRPr="00357D80">
              <w:rPr>
                <w:rFonts w:ascii="Calibri" w:hAnsi="Calibri" w:cs="Calibri"/>
                <w:b/>
                <w:color w:val="000000"/>
              </w:rPr>
              <w:t>Perinatal mortality</w:t>
            </w:r>
            <w:r w:rsidR="00E162DB">
              <w:rPr>
                <w:rFonts w:ascii="Calibri" w:hAnsi="Calibri" w:cs="Calibri"/>
                <w:b/>
                <w:color w:val="000000"/>
              </w:rPr>
              <w:t xml:space="preserve"> </w:t>
            </w:r>
            <w:r w:rsidR="00E162DB">
              <w:rPr>
                <w:rFonts w:ascii="Calibri" w:hAnsi="Calibri" w:cs="Calibri"/>
                <w:color w:val="000000"/>
              </w:rPr>
              <w:t>(per 1,000 pregnancies of at least 7 months duration)</w:t>
            </w:r>
          </w:p>
        </w:tc>
        <w:tc>
          <w:tcPr>
            <w:tcW w:w="2031" w:type="dxa"/>
          </w:tcPr>
          <w:p w14:paraId="79439BED" w14:textId="41016BCA" w:rsidR="00357D80" w:rsidRDefault="00357D80" w:rsidP="009E2628">
            <w:r>
              <w:t xml:space="preserve">29 </w:t>
            </w:r>
            <w:r w:rsidR="00E162DB">
              <w:t>(2010-2014)</w:t>
            </w:r>
          </w:p>
        </w:tc>
        <w:tc>
          <w:tcPr>
            <w:tcW w:w="1457" w:type="dxa"/>
          </w:tcPr>
          <w:p w14:paraId="5D8879C1" w14:textId="77777777" w:rsidR="00357D80" w:rsidRDefault="00357D80" w:rsidP="009E2628"/>
        </w:tc>
        <w:tc>
          <w:tcPr>
            <w:tcW w:w="1963" w:type="dxa"/>
          </w:tcPr>
          <w:p w14:paraId="31C1DA45" w14:textId="778C543C" w:rsidR="00357D80" w:rsidRDefault="00357D80" w:rsidP="009E2628"/>
        </w:tc>
        <w:tc>
          <w:tcPr>
            <w:tcW w:w="2070" w:type="dxa"/>
          </w:tcPr>
          <w:p w14:paraId="21495DED" w14:textId="77777777" w:rsidR="00357D80" w:rsidRDefault="00357D80" w:rsidP="009E2628"/>
        </w:tc>
        <w:tc>
          <w:tcPr>
            <w:tcW w:w="1881" w:type="dxa"/>
          </w:tcPr>
          <w:p w14:paraId="74DF569D" w14:textId="77AF75DC" w:rsidR="00357D80" w:rsidRDefault="00357D80" w:rsidP="009E2628"/>
        </w:tc>
      </w:tr>
      <w:tr w:rsidR="00E162DB" w14:paraId="6C54CD45" w14:textId="77777777" w:rsidTr="00E162DB">
        <w:trPr>
          <w:trHeight w:val="574"/>
        </w:trPr>
        <w:tc>
          <w:tcPr>
            <w:tcW w:w="2199" w:type="dxa"/>
          </w:tcPr>
          <w:p w14:paraId="18A2FCBE" w14:textId="244B7BAC" w:rsidR="00357D80" w:rsidRPr="00E162DB" w:rsidRDefault="00357D80" w:rsidP="009E2628">
            <w:r w:rsidRPr="00357D80">
              <w:rPr>
                <w:rFonts w:ascii="Calibri" w:hAnsi="Calibri" w:cs="Calibri"/>
                <w:b/>
                <w:color w:val="000000"/>
              </w:rPr>
              <w:t>Stillbirth rat</w:t>
            </w:r>
            <w:r w:rsidR="00E162DB">
              <w:rPr>
                <w:rFonts w:ascii="Calibri" w:hAnsi="Calibri" w:cs="Calibri"/>
                <w:b/>
                <w:color w:val="000000"/>
              </w:rPr>
              <w:t xml:space="preserve">e </w:t>
            </w:r>
            <w:r w:rsidR="00E162DB">
              <w:rPr>
                <w:rFonts w:ascii="Calibri" w:hAnsi="Calibri" w:cs="Calibri"/>
                <w:color w:val="000000"/>
              </w:rPr>
              <w:t>(per 1,000 total births)</w:t>
            </w:r>
          </w:p>
        </w:tc>
        <w:tc>
          <w:tcPr>
            <w:tcW w:w="2031" w:type="dxa"/>
          </w:tcPr>
          <w:p w14:paraId="3FC6D2CD" w14:textId="3BBA3DAD" w:rsidR="00357D80" w:rsidRDefault="00357D80" w:rsidP="009E2628"/>
        </w:tc>
        <w:tc>
          <w:tcPr>
            <w:tcW w:w="1457" w:type="dxa"/>
          </w:tcPr>
          <w:p w14:paraId="29BDFEC6" w14:textId="3A850DA8" w:rsidR="00357D80" w:rsidRDefault="00357D80" w:rsidP="009E2628">
            <w:r>
              <w:t>19.</w:t>
            </w:r>
            <w:r w:rsidR="00E162DB">
              <w:t>75</w:t>
            </w:r>
            <w:r>
              <w:t xml:space="preserve"> (2019)</w:t>
            </w:r>
            <w:r w:rsidR="005E49F1" w:rsidRPr="00682502">
              <w:rPr>
                <w:rStyle w:val="FootnoteReference"/>
              </w:rPr>
              <w:footnoteReference w:id="296"/>
            </w:r>
            <w:r>
              <w:t xml:space="preserve"> </w:t>
            </w:r>
          </w:p>
        </w:tc>
        <w:tc>
          <w:tcPr>
            <w:tcW w:w="1963" w:type="dxa"/>
          </w:tcPr>
          <w:p w14:paraId="4991CAC7" w14:textId="57B3D9F9" w:rsidR="00357D80" w:rsidRDefault="00357D80" w:rsidP="009E2628"/>
        </w:tc>
        <w:tc>
          <w:tcPr>
            <w:tcW w:w="2070" w:type="dxa"/>
          </w:tcPr>
          <w:p w14:paraId="57F920B0" w14:textId="77777777" w:rsidR="00357D80" w:rsidRDefault="00357D80" w:rsidP="009E2628"/>
        </w:tc>
        <w:tc>
          <w:tcPr>
            <w:tcW w:w="1881" w:type="dxa"/>
          </w:tcPr>
          <w:p w14:paraId="791D18FE" w14:textId="16A5213F" w:rsidR="00357D80" w:rsidRDefault="00357D80" w:rsidP="009E2628"/>
        </w:tc>
      </w:tr>
      <w:tr w:rsidR="00E162DB" w14:paraId="4B7D1E89" w14:textId="77777777" w:rsidTr="00E162DB">
        <w:trPr>
          <w:trHeight w:val="574"/>
        </w:trPr>
        <w:tc>
          <w:tcPr>
            <w:tcW w:w="2199" w:type="dxa"/>
          </w:tcPr>
          <w:p w14:paraId="0C53B9CB" w14:textId="069CCF16" w:rsidR="00357D80" w:rsidRPr="00E162DB" w:rsidRDefault="00357D80" w:rsidP="009E2628">
            <w:r w:rsidRPr="00357D80">
              <w:rPr>
                <w:rFonts w:ascii="Calibri" w:hAnsi="Calibri" w:cs="Calibri"/>
                <w:b/>
                <w:color w:val="000000"/>
              </w:rPr>
              <w:t>Neonatal mortality</w:t>
            </w:r>
            <w:r w:rsidR="00E162DB">
              <w:rPr>
                <w:rFonts w:ascii="Calibri" w:hAnsi="Calibri" w:cs="Calibri"/>
                <w:b/>
                <w:color w:val="000000"/>
              </w:rPr>
              <w:t xml:space="preserve"> </w:t>
            </w:r>
            <w:r w:rsidR="00E162DB">
              <w:rPr>
                <w:rFonts w:ascii="Calibri" w:hAnsi="Calibri" w:cs="Calibri"/>
                <w:color w:val="000000"/>
              </w:rPr>
              <w:t>(per 1,000 live births)</w:t>
            </w:r>
          </w:p>
        </w:tc>
        <w:tc>
          <w:tcPr>
            <w:tcW w:w="2031" w:type="dxa"/>
          </w:tcPr>
          <w:p w14:paraId="3B06CCAA" w14:textId="0412AD85" w:rsidR="00E162DB" w:rsidRDefault="00E162DB" w:rsidP="009E2628">
            <w:r>
              <w:t>33 (1999-2003)</w:t>
            </w:r>
          </w:p>
          <w:p w14:paraId="3848BE48" w14:textId="77777777" w:rsidR="00E162DB" w:rsidRDefault="00E162DB" w:rsidP="009E2628"/>
          <w:p w14:paraId="030B5F9D" w14:textId="0EE668A2" w:rsidR="00357D80" w:rsidRDefault="00357D80" w:rsidP="009E2628">
            <w:r>
              <w:t xml:space="preserve">22 </w:t>
            </w:r>
            <w:r w:rsidR="00E162DB">
              <w:t>(2010-2014)</w:t>
            </w:r>
          </w:p>
        </w:tc>
        <w:tc>
          <w:tcPr>
            <w:tcW w:w="1457" w:type="dxa"/>
          </w:tcPr>
          <w:p w14:paraId="68AC5DFD" w14:textId="5EF4D95D" w:rsidR="00E162DB" w:rsidRDefault="00E162DB" w:rsidP="009E2628">
            <w:r>
              <w:t>20.3 (2014)</w:t>
            </w:r>
            <w:r w:rsidR="005E49F1" w:rsidRPr="00682502">
              <w:rPr>
                <w:rStyle w:val="FootnoteReference"/>
              </w:rPr>
              <w:footnoteReference w:id="297"/>
            </w:r>
            <w:r w:rsidR="005E49F1">
              <w:t xml:space="preserve"> </w:t>
            </w:r>
          </w:p>
          <w:p w14:paraId="5AE33864" w14:textId="77777777" w:rsidR="00E162DB" w:rsidRDefault="00E162DB" w:rsidP="009E2628"/>
          <w:p w14:paraId="5344364F" w14:textId="727F84A2" w:rsidR="00357D80" w:rsidRDefault="00E162DB" w:rsidP="009E2628">
            <w:r>
              <w:t>18.7 (2017)</w:t>
            </w:r>
            <w:r w:rsidR="005E49F1" w:rsidRPr="00682502">
              <w:rPr>
                <w:rStyle w:val="FootnoteReference"/>
              </w:rPr>
              <w:footnoteReference w:id="298"/>
            </w:r>
            <w:r w:rsidR="005E49F1">
              <w:t xml:space="preserve"> </w:t>
            </w:r>
          </w:p>
        </w:tc>
        <w:tc>
          <w:tcPr>
            <w:tcW w:w="1963" w:type="dxa"/>
          </w:tcPr>
          <w:p w14:paraId="665FCCB8" w14:textId="78E3B92F" w:rsidR="00357D80" w:rsidRDefault="00357D80" w:rsidP="009E2628"/>
        </w:tc>
        <w:tc>
          <w:tcPr>
            <w:tcW w:w="2070" w:type="dxa"/>
          </w:tcPr>
          <w:p w14:paraId="31698588" w14:textId="5002D024" w:rsidR="00E162DB" w:rsidRDefault="00E162DB" w:rsidP="009E2628">
            <w:r>
              <w:t>21.3 (2014)</w:t>
            </w:r>
            <w:r w:rsidR="005E49F1" w:rsidRPr="00682502">
              <w:rPr>
                <w:rStyle w:val="FootnoteReference"/>
              </w:rPr>
              <w:footnoteReference w:id="299"/>
            </w:r>
          </w:p>
          <w:p w14:paraId="51D2CB9F" w14:textId="77777777" w:rsidR="00E162DB" w:rsidRDefault="00E162DB" w:rsidP="009E2628"/>
          <w:p w14:paraId="2AFAAEE1" w14:textId="16F7C674" w:rsidR="00357D80" w:rsidRDefault="00E162DB" w:rsidP="009E2628">
            <w:r>
              <w:t>20.0 (2017)</w:t>
            </w:r>
            <w:r w:rsidR="005E49F1" w:rsidRPr="00682502">
              <w:rPr>
                <w:rStyle w:val="FootnoteReference"/>
              </w:rPr>
              <w:footnoteReference w:id="300"/>
            </w:r>
          </w:p>
        </w:tc>
        <w:tc>
          <w:tcPr>
            <w:tcW w:w="1881" w:type="dxa"/>
          </w:tcPr>
          <w:p w14:paraId="043DA204" w14:textId="0B67DFA0" w:rsidR="00357D80" w:rsidRDefault="00357D80" w:rsidP="009E2628"/>
        </w:tc>
      </w:tr>
      <w:tr w:rsidR="00E162DB" w14:paraId="5FD681D1" w14:textId="77777777" w:rsidTr="00E162DB">
        <w:trPr>
          <w:trHeight w:val="574"/>
        </w:trPr>
        <w:tc>
          <w:tcPr>
            <w:tcW w:w="2199" w:type="dxa"/>
          </w:tcPr>
          <w:p w14:paraId="1A09589F" w14:textId="22592AB0" w:rsidR="00357D80" w:rsidRPr="00E162DB" w:rsidRDefault="00357D80" w:rsidP="009E2628">
            <w:r w:rsidRPr="00357D80">
              <w:rPr>
                <w:rFonts w:ascii="Calibri" w:hAnsi="Calibri" w:cs="Calibri"/>
                <w:b/>
                <w:color w:val="000000"/>
              </w:rPr>
              <w:lastRenderedPageBreak/>
              <w:t>Postneonatal mortality</w:t>
            </w:r>
            <w:r w:rsidR="00E162DB">
              <w:rPr>
                <w:rFonts w:ascii="Calibri" w:hAnsi="Calibri" w:cs="Calibri"/>
                <w:b/>
                <w:color w:val="000000"/>
              </w:rPr>
              <w:t xml:space="preserve"> </w:t>
            </w:r>
            <w:r w:rsidR="00E162DB">
              <w:rPr>
                <w:rFonts w:ascii="Calibri" w:hAnsi="Calibri" w:cs="Calibri"/>
                <w:color w:val="000000"/>
              </w:rPr>
              <w:t>(per 1,000 live births)</w:t>
            </w:r>
          </w:p>
        </w:tc>
        <w:tc>
          <w:tcPr>
            <w:tcW w:w="2031" w:type="dxa"/>
          </w:tcPr>
          <w:p w14:paraId="73997FFC" w14:textId="1F1FB919" w:rsidR="00357D80" w:rsidRDefault="00357D80" w:rsidP="009E2628">
            <w:r>
              <w:t>16</w:t>
            </w:r>
            <w:r w:rsidR="00E162DB">
              <w:t xml:space="preserve"> (2010-2014)</w:t>
            </w:r>
          </w:p>
        </w:tc>
        <w:tc>
          <w:tcPr>
            <w:tcW w:w="1457" w:type="dxa"/>
          </w:tcPr>
          <w:p w14:paraId="27492BE8" w14:textId="77777777" w:rsidR="00357D80" w:rsidRDefault="00357D80" w:rsidP="009E2628"/>
        </w:tc>
        <w:tc>
          <w:tcPr>
            <w:tcW w:w="1963" w:type="dxa"/>
          </w:tcPr>
          <w:p w14:paraId="62CFD789" w14:textId="7AE466D0" w:rsidR="00357D80" w:rsidRDefault="00357D80" w:rsidP="009E2628"/>
        </w:tc>
        <w:tc>
          <w:tcPr>
            <w:tcW w:w="2070" w:type="dxa"/>
          </w:tcPr>
          <w:p w14:paraId="059D644E" w14:textId="77777777" w:rsidR="00357D80" w:rsidRDefault="00357D80" w:rsidP="009E2628"/>
        </w:tc>
        <w:tc>
          <w:tcPr>
            <w:tcW w:w="1881" w:type="dxa"/>
          </w:tcPr>
          <w:p w14:paraId="5A8C9FAC" w14:textId="6E13B897" w:rsidR="00357D80" w:rsidRDefault="00357D80" w:rsidP="009E2628"/>
        </w:tc>
      </w:tr>
      <w:tr w:rsidR="00E162DB" w14:paraId="37C53BC4" w14:textId="77777777" w:rsidTr="00E162DB">
        <w:trPr>
          <w:trHeight w:val="591"/>
        </w:trPr>
        <w:tc>
          <w:tcPr>
            <w:tcW w:w="2199" w:type="dxa"/>
          </w:tcPr>
          <w:p w14:paraId="433F2430" w14:textId="12DA4931" w:rsidR="00357D80" w:rsidRPr="00E162DB" w:rsidRDefault="00357D80" w:rsidP="009E2628">
            <w:r w:rsidRPr="00357D80">
              <w:rPr>
                <w:rFonts w:ascii="Calibri" w:hAnsi="Calibri" w:cs="Calibri"/>
                <w:b/>
                <w:color w:val="000000"/>
              </w:rPr>
              <w:t>Infant mortality</w:t>
            </w:r>
            <w:r w:rsidR="00E162DB">
              <w:rPr>
                <w:rFonts w:ascii="Calibri" w:hAnsi="Calibri" w:cs="Calibri"/>
                <w:b/>
                <w:color w:val="000000"/>
              </w:rPr>
              <w:t xml:space="preserve"> </w:t>
            </w:r>
            <w:r w:rsidR="00E162DB">
              <w:rPr>
                <w:rFonts w:ascii="Calibri" w:hAnsi="Calibri" w:cs="Calibri"/>
                <w:color w:val="000000"/>
              </w:rPr>
              <w:t>(per 1,000 live births)</w:t>
            </w:r>
          </w:p>
        </w:tc>
        <w:tc>
          <w:tcPr>
            <w:tcW w:w="2031" w:type="dxa"/>
          </w:tcPr>
          <w:p w14:paraId="685C298A" w14:textId="45C0F0E3" w:rsidR="00357D80" w:rsidRDefault="00357D80" w:rsidP="009E2628">
            <w:r>
              <w:t xml:space="preserve">39 </w:t>
            </w:r>
            <w:r w:rsidR="00E162DB">
              <w:t>(2010-2014)</w:t>
            </w:r>
          </w:p>
        </w:tc>
        <w:tc>
          <w:tcPr>
            <w:tcW w:w="1457" w:type="dxa"/>
          </w:tcPr>
          <w:p w14:paraId="15D7939B" w14:textId="02C5B8DC" w:rsidR="00E162DB" w:rsidRDefault="00E162DB" w:rsidP="009E2628">
            <w:r>
              <w:t>32.6 (2014)</w:t>
            </w:r>
            <w:r w:rsidR="005E49F1" w:rsidRPr="00682502">
              <w:rPr>
                <w:rStyle w:val="FootnoteReference"/>
              </w:rPr>
              <w:footnoteReference w:id="301"/>
            </w:r>
            <w:r w:rsidR="005E49F1">
              <w:t xml:space="preserve"> </w:t>
            </w:r>
          </w:p>
          <w:p w14:paraId="477191B7" w14:textId="77777777" w:rsidR="00E162DB" w:rsidRDefault="00E162DB" w:rsidP="009E2628"/>
          <w:p w14:paraId="7A57D5BB" w14:textId="23F0294D" w:rsidR="00357D80" w:rsidRDefault="00E162DB" w:rsidP="009E2628">
            <w:r>
              <w:t>36.2 (2017)</w:t>
            </w:r>
            <w:r w:rsidR="005E49F1" w:rsidRPr="00682502">
              <w:rPr>
                <w:rStyle w:val="FootnoteReference"/>
              </w:rPr>
              <w:footnoteReference w:id="302"/>
            </w:r>
            <w:r w:rsidR="005E49F1">
              <w:t xml:space="preserve"> </w:t>
            </w:r>
          </w:p>
        </w:tc>
        <w:tc>
          <w:tcPr>
            <w:tcW w:w="1963" w:type="dxa"/>
          </w:tcPr>
          <w:p w14:paraId="32B286C0" w14:textId="3D261DF3" w:rsidR="00357D80" w:rsidRDefault="00357D80" w:rsidP="009E2628"/>
        </w:tc>
        <w:tc>
          <w:tcPr>
            <w:tcW w:w="2070" w:type="dxa"/>
          </w:tcPr>
          <w:p w14:paraId="39DD7359" w14:textId="58F3D1D0" w:rsidR="00357D80" w:rsidRDefault="00E162DB" w:rsidP="009E2628">
            <w:r>
              <w:t>39.3 (2014)</w:t>
            </w:r>
            <w:r w:rsidR="005E49F1" w:rsidRPr="00682502">
              <w:rPr>
                <w:rStyle w:val="FootnoteReference"/>
              </w:rPr>
              <w:footnoteReference w:id="303"/>
            </w:r>
            <w:r w:rsidR="005E49F1">
              <w:t xml:space="preserve"> </w:t>
            </w:r>
          </w:p>
          <w:p w14:paraId="11323C83" w14:textId="77777777" w:rsidR="00E162DB" w:rsidRDefault="00E162DB" w:rsidP="009E2628"/>
          <w:p w14:paraId="4BDED8AE" w14:textId="6AE42EA8" w:rsidR="00E162DB" w:rsidRDefault="00E162DB" w:rsidP="009E2628">
            <w:r>
              <w:t>36.1 (2017)</w:t>
            </w:r>
            <w:r w:rsidR="005E49F1" w:rsidRPr="00682502">
              <w:rPr>
                <w:rStyle w:val="FootnoteReference"/>
              </w:rPr>
              <w:footnoteReference w:id="304"/>
            </w:r>
            <w:r w:rsidR="005E49F1">
              <w:t xml:space="preserve"> </w:t>
            </w:r>
          </w:p>
        </w:tc>
        <w:tc>
          <w:tcPr>
            <w:tcW w:w="1881" w:type="dxa"/>
          </w:tcPr>
          <w:p w14:paraId="05E831A5" w14:textId="021DCA19" w:rsidR="00357D80" w:rsidRDefault="00357D80" w:rsidP="009E2628"/>
        </w:tc>
      </w:tr>
      <w:tr w:rsidR="00E162DB" w14:paraId="4CC45261" w14:textId="77777777" w:rsidTr="00E162DB">
        <w:trPr>
          <w:trHeight w:val="270"/>
        </w:trPr>
        <w:tc>
          <w:tcPr>
            <w:tcW w:w="2199" w:type="dxa"/>
          </w:tcPr>
          <w:p w14:paraId="2492AA38" w14:textId="796F263A" w:rsidR="00357D80" w:rsidRPr="00357D80" w:rsidRDefault="00E162DB" w:rsidP="009E2628">
            <w:pPr>
              <w:rPr>
                <w:b/>
              </w:rPr>
            </w:pPr>
            <w:r>
              <w:rPr>
                <w:rFonts w:ascii="Calibri" w:hAnsi="Calibri" w:cs="Calibri"/>
                <w:b/>
                <w:color w:val="000000"/>
              </w:rPr>
              <w:t>Under-five c</w:t>
            </w:r>
            <w:r w:rsidR="00357D80" w:rsidRPr="00357D80">
              <w:rPr>
                <w:rFonts w:ascii="Calibri" w:hAnsi="Calibri" w:cs="Calibri"/>
                <w:b/>
                <w:color w:val="000000"/>
              </w:rPr>
              <w:t>hild mortality</w:t>
            </w:r>
            <w:r>
              <w:rPr>
                <w:rFonts w:ascii="Calibri" w:hAnsi="Calibri" w:cs="Calibri"/>
                <w:b/>
                <w:color w:val="000000"/>
              </w:rPr>
              <w:t xml:space="preserve"> </w:t>
            </w:r>
            <w:r>
              <w:rPr>
                <w:rFonts w:ascii="Calibri" w:hAnsi="Calibri" w:cs="Calibri"/>
                <w:color w:val="000000"/>
              </w:rPr>
              <w:t>(per 1,000 live births)</w:t>
            </w:r>
          </w:p>
        </w:tc>
        <w:tc>
          <w:tcPr>
            <w:tcW w:w="2031" w:type="dxa"/>
          </w:tcPr>
          <w:p w14:paraId="7EF9029A" w14:textId="0BD96AC8" w:rsidR="00E162DB" w:rsidRDefault="00E162DB" w:rsidP="009E2628">
            <w:r>
              <w:t>115 (1999-2003)</w:t>
            </w:r>
          </w:p>
          <w:p w14:paraId="59AF07B4" w14:textId="77777777" w:rsidR="00E162DB" w:rsidRDefault="00E162DB" w:rsidP="009E2628"/>
          <w:p w14:paraId="2998DBEB" w14:textId="31E5D87D" w:rsidR="00357D80" w:rsidRDefault="00E162DB" w:rsidP="009E2628">
            <w:r>
              <w:t>52 (2010-2014)</w:t>
            </w:r>
          </w:p>
        </w:tc>
        <w:tc>
          <w:tcPr>
            <w:tcW w:w="1457" w:type="dxa"/>
          </w:tcPr>
          <w:p w14:paraId="603750EE" w14:textId="77777777" w:rsidR="00357D80" w:rsidRDefault="00357D80" w:rsidP="009E2628"/>
        </w:tc>
        <w:tc>
          <w:tcPr>
            <w:tcW w:w="1963" w:type="dxa"/>
          </w:tcPr>
          <w:p w14:paraId="68399B56" w14:textId="16AF5AB3" w:rsidR="00357D80" w:rsidRDefault="00357D80" w:rsidP="009E2628"/>
        </w:tc>
        <w:tc>
          <w:tcPr>
            <w:tcW w:w="2070" w:type="dxa"/>
          </w:tcPr>
          <w:p w14:paraId="7D88DB23" w14:textId="77777777" w:rsidR="00357D80" w:rsidRDefault="00357D80" w:rsidP="009E2628"/>
        </w:tc>
        <w:tc>
          <w:tcPr>
            <w:tcW w:w="1881" w:type="dxa"/>
          </w:tcPr>
          <w:p w14:paraId="050931B3" w14:textId="3F2B5C83" w:rsidR="00357D80" w:rsidRDefault="00357D80" w:rsidP="009E2628"/>
        </w:tc>
      </w:tr>
      <w:tr w:rsidR="00E162DB" w14:paraId="612013D5" w14:textId="77777777" w:rsidTr="00E162DB">
        <w:trPr>
          <w:trHeight w:val="270"/>
        </w:trPr>
        <w:tc>
          <w:tcPr>
            <w:tcW w:w="2199" w:type="dxa"/>
          </w:tcPr>
          <w:p w14:paraId="22992F7A" w14:textId="77777777" w:rsidR="00357D80" w:rsidRDefault="00357D80" w:rsidP="009E2628"/>
        </w:tc>
        <w:tc>
          <w:tcPr>
            <w:tcW w:w="2031" w:type="dxa"/>
          </w:tcPr>
          <w:p w14:paraId="69BF25CC" w14:textId="77777777" w:rsidR="00357D80" w:rsidRDefault="00357D80" w:rsidP="009E2628"/>
        </w:tc>
        <w:tc>
          <w:tcPr>
            <w:tcW w:w="1457" w:type="dxa"/>
          </w:tcPr>
          <w:p w14:paraId="40D0FF84" w14:textId="77777777" w:rsidR="00357D80" w:rsidRDefault="00357D80" w:rsidP="009E2628"/>
        </w:tc>
        <w:tc>
          <w:tcPr>
            <w:tcW w:w="1963" w:type="dxa"/>
          </w:tcPr>
          <w:p w14:paraId="6519F214" w14:textId="45289460" w:rsidR="00357D80" w:rsidRDefault="00357D80" w:rsidP="009E2628"/>
        </w:tc>
        <w:tc>
          <w:tcPr>
            <w:tcW w:w="2070" w:type="dxa"/>
          </w:tcPr>
          <w:p w14:paraId="2524A253" w14:textId="77777777" w:rsidR="00357D80" w:rsidRDefault="00357D80" w:rsidP="009E2628"/>
        </w:tc>
        <w:tc>
          <w:tcPr>
            <w:tcW w:w="1881" w:type="dxa"/>
          </w:tcPr>
          <w:p w14:paraId="2F68C37B" w14:textId="064BCDD9" w:rsidR="00357D80" w:rsidRDefault="00357D80" w:rsidP="009E2628"/>
        </w:tc>
      </w:tr>
    </w:tbl>
    <w:p w14:paraId="3158D88A" w14:textId="6E6A47B6" w:rsidR="00820125" w:rsidRPr="00820125" w:rsidRDefault="00820125" w:rsidP="009E2628"/>
    <w:p w14:paraId="59692A83" w14:textId="588065A8" w:rsidR="00820125" w:rsidRDefault="00820125" w:rsidP="009E2628"/>
    <w:p w14:paraId="50C8BC84" w14:textId="3FF4EFAA" w:rsidR="000F3F93" w:rsidRDefault="000F3F93" w:rsidP="009E2628"/>
    <w:p w14:paraId="329B3330" w14:textId="07077788" w:rsidR="000F3F93" w:rsidRDefault="000F3F93" w:rsidP="009E2628"/>
    <w:p w14:paraId="44814DA2" w14:textId="2F8C26A8" w:rsidR="000F3F93" w:rsidRDefault="000F3F93" w:rsidP="009E2628"/>
    <w:p w14:paraId="2EB3B69A" w14:textId="3F70F4EE" w:rsidR="000F3F93" w:rsidRDefault="000F3F93" w:rsidP="009E2628"/>
    <w:p w14:paraId="6B713722" w14:textId="715D0A09" w:rsidR="000F3F93" w:rsidRDefault="000F3F93" w:rsidP="009E2628"/>
    <w:p w14:paraId="1956F0AF" w14:textId="375C3554" w:rsidR="000F3F93" w:rsidRDefault="000F3F93" w:rsidP="009E2628"/>
    <w:p w14:paraId="6776A37E" w14:textId="4D6AF9A8" w:rsidR="000F3F93" w:rsidRDefault="000F3F93" w:rsidP="009E2628"/>
    <w:p w14:paraId="1BF8768E" w14:textId="25E8D4DE" w:rsidR="000F3F93" w:rsidRDefault="000F3F93" w:rsidP="009E2628"/>
    <w:p w14:paraId="703B13B9" w14:textId="2570A090" w:rsidR="000F3F93" w:rsidRDefault="000F3F93" w:rsidP="009E2628"/>
    <w:p w14:paraId="6CCC6DA1" w14:textId="7996B7F7" w:rsidR="000F3F93" w:rsidRDefault="000F3F93" w:rsidP="009E2628"/>
    <w:p w14:paraId="261C6FF3" w14:textId="2BFF8270" w:rsidR="000F3F93" w:rsidRDefault="000F3F93" w:rsidP="009E2628"/>
    <w:p w14:paraId="043BCF45" w14:textId="058B2F9C" w:rsidR="000F3F93" w:rsidRDefault="000F3F93" w:rsidP="009E2628"/>
    <w:p w14:paraId="47AE2739" w14:textId="7F238E58" w:rsidR="000F3F93" w:rsidRDefault="000F3F93" w:rsidP="009E2628"/>
    <w:p w14:paraId="1218C19B" w14:textId="5AC7FFB2" w:rsidR="000F3F93" w:rsidRDefault="000F3F93" w:rsidP="009E2628"/>
    <w:p w14:paraId="45A925D5" w14:textId="051D31E0" w:rsidR="000F3F93" w:rsidRDefault="000F3F93" w:rsidP="009E2628"/>
    <w:p w14:paraId="4C0F1B84" w14:textId="7A9F792E" w:rsidR="000F3F93" w:rsidRDefault="000F3F93" w:rsidP="009E2628"/>
    <w:p w14:paraId="52F8DEEF" w14:textId="308D4F2A" w:rsidR="000F3F93" w:rsidRDefault="000F3F93" w:rsidP="009E2628"/>
    <w:p w14:paraId="3822DE04" w14:textId="2CAC1E8A" w:rsidR="000F3F93" w:rsidRDefault="000F3F93" w:rsidP="009E2628"/>
    <w:p w14:paraId="621C5ADD" w14:textId="74D6BC1B" w:rsidR="000F3F93" w:rsidRDefault="000F3F93" w:rsidP="009E2628"/>
    <w:p w14:paraId="6CFB4042" w14:textId="7DDD05E8" w:rsidR="000F3F93" w:rsidRDefault="000F3F93" w:rsidP="009E2628"/>
    <w:p w14:paraId="23387EB5" w14:textId="653A97DC" w:rsidR="000F3F93" w:rsidRDefault="000F3F93" w:rsidP="009E2628"/>
    <w:p w14:paraId="13E0BBE6" w14:textId="2F952C64" w:rsidR="009443ED" w:rsidRDefault="009443ED" w:rsidP="009E2628"/>
    <w:p w14:paraId="08D4B6E6" w14:textId="77777777" w:rsidR="009443ED" w:rsidRDefault="009443ED" w:rsidP="009E2628"/>
    <w:p w14:paraId="43879858" w14:textId="21726C2A" w:rsidR="000F3F93" w:rsidRDefault="000F3F93" w:rsidP="009E2628"/>
    <w:p w14:paraId="3DAC533C" w14:textId="77777777" w:rsidR="002B6E4F" w:rsidRDefault="002B6E4F" w:rsidP="009E2628"/>
    <w:p w14:paraId="5777CCF6" w14:textId="7C263D2F" w:rsidR="000F3F93" w:rsidRPr="000F3F93" w:rsidRDefault="000F3F93" w:rsidP="000F3F93">
      <w:pPr>
        <w:jc w:val="center"/>
        <w:rPr>
          <w:b/>
        </w:rPr>
      </w:pPr>
      <w:r>
        <w:rPr>
          <w:b/>
        </w:rPr>
        <w:lastRenderedPageBreak/>
        <w:t>References</w:t>
      </w:r>
    </w:p>
    <w:p w14:paraId="7971AC15" w14:textId="77777777" w:rsidR="00820125" w:rsidRPr="001A5B90" w:rsidRDefault="00820125" w:rsidP="009E2628"/>
    <w:p w14:paraId="4E3422C4"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1A5B90">
        <w:fldChar w:fldCharType="begin" w:fldLock="1"/>
      </w:r>
      <w:r w:rsidRPr="001A5B90">
        <w:instrText xml:space="preserve">ADDIN Mendeley Bibliography CSL_BIBLIOGRAPHY </w:instrText>
      </w:r>
      <w:r w:rsidRPr="001A5B90">
        <w:fldChar w:fldCharType="separate"/>
      </w:r>
      <w:r w:rsidRPr="00CD4388">
        <w:rPr>
          <w:rFonts w:ascii="Calibri" w:hAnsi="Calibri" w:cs="Calibri"/>
          <w:noProof/>
        </w:rPr>
        <w:t xml:space="preserve">Abbafati, Cristiana et al. 2020. “Global Burden of 87 Risk Factors in 204 Countries and Territories, 1990–2019: A Systematic Analysis for the Global Burden of Disease Study 2019.” </w:t>
      </w:r>
      <w:r w:rsidRPr="00CD4388">
        <w:rPr>
          <w:rFonts w:ascii="Calibri" w:hAnsi="Calibri" w:cs="Calibri"/>
          <w:i/>
          <w:iCs/>
          <w:noProof/>
        </w:rPr>
        <w:t>The Lancet</w:t>
      </w:r>
      <w:r w:rsidRPr="00CD4388">
        <w:rPr>
          <w:rFonts w:ascii="Calibri" w:hAnsi="Calibri" w:cs="Calibri"/>
          <w:noProof/>
        </w:rPr>
        <w:t xml:space="preserve"> 396(10258): 1223–49.</w:t>
      </w:r>
    </w:p>
    <w:p w14:paraId="412691EB"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“About Kisii County.” https://www.kisii.go.ke/index.php/county-profile/vision-and-mission?tmpl=component&amp;print=1 (April 6, 2022).</w:t>
      </w:r>
    </w:p>
    <w:p w14:paraId="7FB8C09B"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Abuya, Timothy et al. 2015. “Exploring the Prevalence of Disrespect and Abuse during Childbirth in Kenya.” </w:t>
      </w:r>
      <w:r w:rsidRPr="00CD4388">
        <w:rPr>
          <w:rFonts w:ascii="Calibri" w:hAnsi="Calibri" w:cs="Calibri"/>
          <w:i/>
          <w:iCs/>
          <w:noProof/>
        </w:rPr>
        <w:t>PLOS ONE</w:t>
      </w:r>
      <w:r w:rsidRPr="00CD4388">
        <w:rPr>
          <w:rFonts w:ascii="Calibri" w:hAnsi="Calibri" w:cs="Calibri"/>
          <w:noProof/>
        </w:rPr>
        <w:t xml:space="preserve"> 10(4): e0123606. https://journals-plos-org.libproxy.lib.unc.edu/plosone/article?id=10.1371/journal.pone.0123606 (March 29, 2022).</w:t>
      </w:r>
    </w:p>
    <w:p w14:paraId="6DC1EB2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Agócs, Mary et al. 2021. “Reasons Why Children Miss Vaccinations in Western Kenya; A Step in a Five-Point Plan to Improve Routine Immunization.” </w:t>
      </w:r>
      <w:r w:rsidRPr="00CD4388">
        <w:rPr>
          <w:rFonts w:ascii="Calibri" w:hAnsi="Calibri" w:cs="Calibri"/>
          <w:i/>
          <w:iCs/>
          <w:noProof/>
        </w:rPr>
        <w:t>Vaccine</w:t>
      </w:r>
      <w:r w:rsidRPr="00CD4388">
        <w:rPr>
          <w:rFonts w:ascii="Calibri" w:hAnsi="Calibri" w:cs="Calibri"/>
          <w:noProof/>
        </w:rPr>
        <w:t xml:space="preserve"> 39(34): 4895–4902.</w:t>
      </w:r>
    </w:p>
    <w:p w14:paraId="4366FFEC"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Bartlett, L et al. 2015. “Facility-Based Active Management of the Third Stage of Labour: Assessment of Quality in Six Countries in Sub-Saharan Africa.” </w:t>
      </w:r>
      <w:r w:rsidRPr="00CD4388">
        <w:rPr>
          <w:rFonts w:ascii="Calibri" w:hAnsi="Calibri" w:cs="Calibri"/>
          <w:i/>
          <w:iCs/>
          <w:noProof/>
        </w:rPr>
        <w:t>Bull World Health Organization</w:t>
      </w:r>
      <w:r w:rsidRPr="00CD4388">
        <w:rPr>
          <w:rFonts w:ascii="Calibri" w:hAnsi="Calibri" w:cs="Calibri"/>
          <w:noProof/>
        </w:rPr>
        <w:t xml:space="preserve"> 93.</w:t>
      </w:r>
    </w:p>
    <w:p w14:paraId="6174E8F5"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Bentham, James et al. 2017. “Worldwide Trends in Body-Mass Index, Underweight, Overweight, and Obesity from 1975 to 2016: A Pooled Analysis of 2416 Population-Based Measurement Studies in 128·9 Million Children, Adolescents, and Adults.” </w:t>
      </w:r>
      <w:r w:rsidRPr="00CD4388">
        <w:rPr>
          <w:rFonts w:ascii="Calibri" w:hAnsi="Calibri" w:cs="Calibri"/>
          <w:i/>
          <w:iCs/>
          <w:noProof/>
        </w:rPr>
        <w:t>The Lancet</w:t>
      </w:r>
      <w:r w:rsidRPr="00CD4388">
        <w:rPr>
          <w:rFonts w:ascii="Calibri" w:hAnsi="Calibri" w:cs="Calibri"/>
          <w:noProof/>
        </w:rPr>
        <w:t xml:space="preserve"> 390(10113): 2627–42. http://www.thelancet.com/article/S0140673617321293/fulltext (March 8, 2022).</w:t>
      </w:r>
    </w:p>
    <w:p w14:paraId="5D19F23E"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Bloss, Emily, Fidelis Wainaina, and Robert C. Bailey. 2004. “Prevalence and Predictors of Underweight, Stunting, and Wasting among Children Aged 5 and under in Western Kenya.” </w:t>
      </w:r>
      <w:r w:rsidRPr="00CD4388">
        <w:rPr>
          <w:rFonts w:ascii="Calibri" w:hAnsi="Calibri" w:cs="Calibri"/>
          <w:i/>
          <w:iCs/>
          <w:noProof/>
        </w:rPr>
        <w:t>Journal of tropical pediatrics</w:t>
      </w:r>
      <w:r w:rsidRPr="00CD4388">
        <w:rPr>
          <w:rFonts w:ascii="Calibri" w:hAnsi="Calibri" w:cs="Calibri"/>
          <w:noProof/>
        </w:rPr>
        <w:t xml:space="preserve"> 50(5): 260–70. https://pubmed.ncbi.nlm.nih.gov/15510756/ (February 16, 2022).</w:t>
      </w:r>
    </w:p>
    <w:p w14:paraId="476F1C4D"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Campisi, Susan C, Bianca Carducci, Olle Söder, and Zulfiqar A Bhutta. 2018. “The Intricate Relationship between Chronic Undernutrition, Impaired Linear Growth and Delayed Puberty: Is ‘catch-up’ Growth Possible during Adolescence?” </w:t>
      </w:r>
      <w:r w:rsidRPr="00CD4388">
        <w:rPr>
          <w:rFonts w:ascii="Calibri" w:hAnsi="Calibri" w:cs="Calibri"/>
          <w:i/>
          <w:iCs/>
          <w:noProof/>
        </w:rPr>
        <w:t>UNICEF Innocenti</w:t>
      </w:r>
      <w:r w:rsidRPr="00CD4388">
        <w:rPr>
          <w:rFonts w:ascii="Calibri" w:hAnsi="Calibri" w:cs="Calibri"/>
          <w:noProof/>
        </w:rPr>
        <w:t>. www.unicef-irc.org (March 8, 2022).</w:t>
      </w:r>
    </w:p>
    <w:p w14:paraId="0C9D7F68"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Center for Reproductive Rights. 2020. </w:t>
      </w:r>
      <w:r w:rsidRPr="00CD4388">
        <w:rPr>
          <w:rFonts w:ascii="Calibri" w:hAnsi="Calibri" w:cs="Calibri"/>
          <w:i/>
          <w:iCs/>
          <w:noProof/>
        </w:rPr>
        <w:t>A Decade of Existence: Revealing Progress, Reversals, and Betrayal of a National Compromise. Tracking Implementation of Article 26(4) of the Constitution</w:t>
      </w:r>
      <w:r w:rsidRPr="00CD4388">
        <w:rPr>
          <w:rFonts w:ascii="Calibri" w:hAnsi="Calibri" w:cs="Calibri"/>
          <w:noProof/>
        </w:rPr>
        <w:t>.</w:t>
      </w:r>
    </w:p>
    <w:p w14:paraId="112D6C8F"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Center for Reproductive Rights and Federation of Women Lawyers- Kenya. 2007. </w:t>
      </w:r>
      <w:r w:rsidRPr="00CD4388">
        <w:rPr>
          <w:rFonts w:ascii="Calibri" w:hAnsi="Calibri" w:cs="Calibri"/>
          <w:i/>
          <w:iCs/>
          <w:noProof/>
        </w:rPr>
        <w:t>Failure to Deliver. Violations of Women’s Human Rights in Kenyan Health Facilities.</w:t>
      </w:r>
    </w:p>
    <w:p w14:paraId="16AA7122"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Chuma, Jane, Vincent Okungu, Janet Ntwiga, and Catherine Molyneux. 2010. “Towards Achieving Abuja Targets: Identifying and Addressing Barriers to Access and Use of Insecticides Treated Nets among the Poorest Populations in Kenya.” </w:t>
      </w:r>
      <w:r w:rsidRPr="00CD4388">
        <w:rPr>
          <w:rFonts w:ascii="Calibri" w:hAnsi="Calibri" w:cs="Calibri"/>
          <w:i/>
          <w:iCs/>
          <w:noProof/>
        </w:rPr>
        <w:t>BMC Public Health</w:t>
      </w:r>
      <w:r w:rsidRPr="00CD4388">
        <w:rPr>
          <w:rFonts w:ascii="Calibri" w:hAnsi="Calibri" w:cs="Calibri"/>
          <w:noProof/>
        </w:rPr>
        <w:t xml:space="preserve"> 10(1): 1–14. https://bmcpublichealth-biomedcentral-com.libproxy.lib.unc.edu/articles/10.1186/1471-2458-10-137 (March 21, 2022).</w:t>
      </w:r>
    </w:p>
    <w:p w14:paraId="23C2EE42"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Cumming, Oliver, and Sandy Cairncross. 2016. “Can Water, Sanitation and Hygiene Help Eliminate Stunting? Current Evidence and Policy Implications.” </w:t>
      </w:r>
      <w:r w:rsidRPr="00CD4388">
        <w:rPr>
          <w:rFonts w:ascii="Calibri" w:hAnsi="Calibri" w:cs="Calibri"/>
          <w:i/>
          <w:iCs/>
          <w:noProof/>
        </w:rPr>
        <w:t>Maternal &amp; Child Nutrition</w:t>
      </w:r>
      <w:r w:rsidRPr="00CD4388">
        <w:rPr>
          <w:rFonts w:ascii="Calibri" w:hAnsi="Calibri" w:cs="Calibri"/>
          <w:noProof/>
        </w:rPr>
        <w:t xml:space="preserve"> 12: 91–105. https://onlinelibrary-wiley-com.libproxy.lib.unc.edu/doi/full/10.1111/mcn.12258 (February 24, 2022).</w:t>
      </w:r>
    </w:p>
    <w:p w14:paraId="083B29B4"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Dewey, Kathryn G., and Khadija Begum. 2011. “Long-Term Consequences of Stunting in Early Life.” </w:t>
      </w:r>
      <w:r w:rsidRPr="00CD4388">
        <w:rPr>
          <w:rFonts w:ascii="Calibri" w:hAnsi="Calibri" w:cs="Calibri"/>
          <w:i/>
          <w:iCs/>
          <w:noProof/>
        </w:rPr>
        <w:t>Maternal &amp; Child Nutrition</w:t>
      </w:r>
      <w:r w:rsidRPr="00CD4388">
        <w:rPr>
          <w:rFonts w:ascii="Calibri" w:hAnsi="Calibri" w:cs="Calibri"/>
          <w:noProof/>
        </w:rPr>
        <w:t xml:space="preserve"> 7(SUPPL. 3): 5–18. https://onlinelibrary-wiley-</w:t>
      </w:r>
      <w:r w:rsidRPr="00CD4388">
        <w:rPr>
          <w:rFonts w:ascii="Calibri" w:hAnsi="Calibri" w:cs="Calibri"/>
          <w:noProof/>
        </w:rPr>
        <w:lastRenderedPageBreak/>
        <w:t>com.libproxy.lib.unc.edu/doi/full/10.1111/j.1740-8709.2011.00349.x (March 3, 2022).</w:t>
      </w:r>
    </w:p>
    <w:p w14:paraId="60BB9C0E"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Gitobu, C. M., P. B. Gichangi, and W. O. Mwanda. 2018. “The Effect of Kenya’s Free Maternal Health Care Policy on the Utilization of Health Facility Delivery Services and Maternal and Neonatal Mortality in Public Health Facilities.” </w:t>
      </w:r>
      <w:r w:rsidRPr="00CD4388">
        <w:rPr>
          <w:rFonts w:ascii="Calibri" w:hAnsi="Calibri" w:cs="Calibri"/>
          <w:i/>
          <w:iCs/>
          <w:noProof/>
        </w:rPr>
        <w:t>BMC Pregnancy and Childbirth</w:t>
      </w:r>
      <w:r w:rsidRPr="00CD4388">
        <w:rPr>
          <w:rFonts w:ascii="Calibri" w:hAnsi="Calibri" w:cs="Calibri"/>
          <w:noProof/>
        </w:rPr>
        <w:t xml:space="preserve"> 18(1): 1–11. https://bmcpregnancychildbirth.biomedcentral.com/articles/10.1186/s12884-018-1708-2 (March 29, 2022).</w:t>
      </w:r>
    </w:p>
    <w:p w14:paraId="185EB1BC"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globalEDGE. “Kenya: Introduction.” https://globaledge.msu.edu/countries/kenya (April 6, 2022).</w:t>
      </w:r>
    </w:p>
    <w:p w14:paraId="03D53B50"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Grace, Kathryn et al. 2022. “Conflict and Climate Factors and the Risk of Child Acute Malnutrition Among Children Aged 24–59 Months: A Comparative Analysis of Kenya, Nigeria, and Uganda.” </w:t>
      </w:r>
      <w:r w:rsidRPr="00CD4388">
        <w:rPr>
          <w:rFonts w:ascii="Calibri" w:hAnsi="Calibri" w:cs="Calibri"/>
          <w:i/>
          <w:iCs/>
          <w:noProof/>
        </w:rPr>
        <w:t>Spatial Demography 2022</w:t>
      </w:r>
      <w:r w:rsidRPr="00CD4388">
        <w:rPr>
          <w:rFonts w:ascii="Calibri" w:hAnsi="Calibri" w:cs="Calibri"/>
          <w:noProof/>
        </w:rPr>
        <w:t>: 1–30. https://link.springer.com/article/10.1007/s40980-021-00102-w (February 16, 2022).</w:t>
      </w:r>
    </w:p>
    <w:p w14:paraId="26512084"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Grantham-McGregor, Sally et al. 2007. “Developmental Potential in the First 5 Years for Children in Developing Countries.” </w:t>
      </w:r>
      <w:r w:rsidRPr="00CD4388">
        <w:rPr>
          <w:rFonts w:ascii="Calibri" w:hAnsi="Calibri" w:cs="Calibri"/>
          <w:i/>
          <w:iCs/>
          <w:noProof/>
        </w:rPr>
        <w:t>The Lancet</w:t>
      </w:r>
      <w:r w:rsidRPr="00CD4388">
        <w:rPr>
          <w:rFonts w:ascii="Calibri" w:hAnsi="Calibri" w:cs="Calibri"/>
          <w:noProof/>
        </w:rPr>
        <w:t xml:space="preserve"> 369(9555): 60–70.</w:t>
      </w:r>
    </w:p>
    <w:p w14:paraId="11592120"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Gregory, Elizabeth CW, Patrick Drake, and Joyce A Martin. 2018. </w:t>
      </w:r>
      <w:r w:rsidRPr="00CD4388">
        <w:rPr>
          <w:rFonts w:ascii="Calibri" w:hAnsi="Calibri" w:cs="Calibri"/>
          <w:i/>
          <w:iCs/>
          <w:noProof/>
        </w:rPr>
        <w:t>Lack of Change in Perinatal Mortality in the United States, 2014-2016</w:t>
      </w:r>
      <w:r w:rsidRPr="00CD4388">
        <w:rPr>
          <w:rFonts w:ascii="Calibri" w:hAnsi="Calibri" w:cs="Calibri"/>
          <w:noProof/>
        </w:rPr>
        <w:t>. https://www.cdc.gov/nchs/products/databriefs/db316.htm (March 20, 2022).</w:t>
      </w:r>
    </w:p>
    <w:p w14:paraId="235892CE"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Groome, Michelle J., and Umesh D. Parashar. 2019. “Understanding the Full Clinical Spectrum of Childhood Diarrhoea in Low-Income and Middle-Income Countries.” </w:t>
      </w:r>
      <w:r w:rsidRPr="00CD4388">
        <w:rPr>
          <w:rFonts w:ascii="Calibri" w:hAnsi="Calibri" w:cs="Calibri"/>
          <w:i/>
          <w:iCs/>
          <w:noProof/>
        </w:rPr>
        <w:t>The Lancet Global Health</w:t>
      </w:r>
      <w:r w:rsidRPr="00CD4388">
        <w:rPr>
          <w:rFonts w:ascii="Calibri" w:hAnsi="Calibri" w:cs="Calibri"/>
          <w:noProof/>
        </w:rPr>
        <w:t xml:space="preserve"> 7(5): e534–35. http://www.thelancet.com/article/S2214109X19300567/fulltext (March 8, 2022).</w:t>
      </w:r>
    </w:p>
    <w:p w14:paraId="1804BBEF"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Hoddinott, John et al. 2008. “Effect of a Nutrition Intervention during Early Childhood on Economic Productivity in Guatemalan Adults.” </w:t>
      </w:r>
      <w:r w:rsidRPr="00CD4388">
        <w:rPr>
          <w:rFonts w:ascii="Calibri" w:hAnsi="Calibri" w:cs="Calibri"/>
          <w:i/>
          <w:iCs/>
          <w:noProof/>
        </w:rPr>
        <w:t>Lancet (London, England)</w:t>
      </w:r>
      <w:r w:rsidRPr="00CD4388">
        <w:rPr>
          <w:rFonts w:ascii="Calibri" w:hAnsi="Calibri" w:cs="Calibri"/>
          <w:noProof/>
        </w:rPr>
        <w:t xml:space="preserve"> 371(9610): 411–16. https://pubmed-ncbi-nlm-nih-gov.libproxy.lib.unc.edu/18242415/ (March 3, 2022).</w:t>
      </w:r>
    </w:p>
    <w:p w14:paraId="08AA842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“How the COVID-19 Pandemic Has Scarred the World’s Children | UNICEF.” https://www.unicef.org/coronavirus/COVID-19-pandemic-scarred-world-children (February 16, 2022).</w:t>
      </w:r>
    </w:p>
    <w:p w14:paraId="109CE58D"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“Infant and Young Child Feeding.” 2021. https://www.who.int/news-room/fact-sheets/detail/infant-and-young-child-feeding (February 16, 2022).</w:t>
      </w:r>
    </w:p>
    <w:p w14:paraId="6E1EFEB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“Institute for Health Metrics and Evaluation (IHME). GBD Compare. Seattle, WA: IHME University of Washington, 2019. Available from Https://Vizhub.Healthdata.Org/Gbd-Compare/ (Accessed Feb 28, 2022).”</w:t>
      </w:r>
    </w:p>
    <w:p w14:paraId="361F21B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Irungu, Elizabeth M. et al. 2021. “Integration of Pre-Exposure Prophylaxis Services into Public HIV Care Clinics in Kenya: A Pragmatic Stepped-Wedge Randomised Trial.” </w:t>
      </w:r>
      <w:r w:rsidRPr="00CD4388">
        <w:rPr>
          <w:rFonts w:ascii="Calibri" w:hAnsi="Calibri" w:cs="Calibri"/>
          <w:i/>
          <w:iCs/>
          <w:noProof/>
        </w:rPr>
        <w:t>The Lancet Global Health</w:t>
      </w:r>
      <w:r w:rsidRPr="00CD4388">
        <w:rPr>
          <w:rFonts w:ascii="Calibri" w:hAnsi="Calibri" w:cs="Calibri"/>
          <w:noProof/>
        </w:rPr>
        <w:t xml:space="preserve"> 9(12): e1730–39. http://www.thelancet.com/article/S2214109X21003910/fulltext (April 6, 2022).</w:t>
      </w:r>
    </w:p>
    <w:p w14:paraId="635DB5A9"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Kaguthi, Grace, Videlis Nduba, Martien Wilhelm Borgdorff, and Suzanne Verver. 2018. “Predictors of Post Neonatal Mortality in Western Kenya: A Cohort Study.” </w:t>
      </w:r>
      <w:r w:rsidRPr="00CD4388">
        <w:rPr>
          <w:rFonts w:ascii="Calibri" w:hAnsi="Calibri" w:cs="Calibri"/>
          <w:i/>
          <w:iCs/>
          <w:noProof/>
        </w:rPr>
        <w:t>PAMJ. 2018; 31:114</w:t>
      </w:r>
      <w:r w:rsidRPr="00CD4388">
        <w:rPr>
          <w:rFonts w:ascii="Calibri" w:hAnsi="Calibri" w:cs="Calibri"/>
          <w:noProof/>
        </w:rPr>
        <w:t xml:space="preserve"> 31(114). https://www.panafrican-med-journal.com/content/article/31/114/full (March 28, 2022).</w:t>
      </w:r>
    </w:p>
    <w:p w14:paraId="1D0EED1D"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Kamau, Mary Wanjira, Waithira Mirie, and Samuel Kimani. 2018. “Compliance with Iron and Folic Acid Supplementation (IFAS) and Associated Factors among Pregnant Women: Results from a Cross-Sectional Study in Kiambu County, Kenya.” </w:t>
      </w:r>
      <w:r w:rsidRPr="00CD4388">
        <w:rPr>
          <w:rFonts w:ascii="Calibri" w:hAnsi="Calibri" w:cs="Calibri"/>
          <w:i/>
          <w:iCs/>
          <w:noProof/>
        </w:rPr>
        <w:t>BMC Public Health</w:t>
      </w:r>
      <w:r w:rsidRPr="00CD4388">
        <w:rPr>
          <w:rFonts w:ascii="Calibri" w:hAnsi="Calibri" w:cs="Calibri"/>
          <w:noProof/>
        </w:rPr>
        <w:t xml:space="preserve"> 18(1): 1–10. https://bmcpublichealth-biomedcentral-</w:t>
      </w:r>
      <w:r w:rsidRPr="00CD4388">
        <w:rPr>
          <w:rFonts w:ascii="Calibri" w:hAnsi="Calibri" w:cs="Calibri"/>
          <w:noProof/>
        </w:rPr>
        <w:lastRenderedPageBreak/>
        <w:t>com.libproxy.lib.unc.edu/articles/10.1186/s12889-018-5437-2 (March 30, 2022).</w:t>
      </w:r>
    </w:p>
    <w:p w14:paraId="60AB2768"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Kassaye, Mesfin, Charles Larson, and Dennis Carlson. 1994. “A Randomized Community Trial of Prepackaged and Homemade Oral Rehydration Therapies.” </w:t>
      </w:r>
      <w:r w:rsidRPr="00CD4388">
        <w:rPr>
          <w:rFonts w:ascii="Calibri" w:hAnsi="Calibri" w:cs="Calibri"/>
          <w:i/>
          <w:iCs/>
          <w:noProof/>
        </w:rPr>
        <w:t>Archives of Pediatrics &amp; Adolescent Medicine</w:t>
      </w:r>
      <w:r w:rsidRPr="00CD4388">
        <w:rPr>
          <w:rFonts w:ascii="Calibri" w:hAnsi="Calibri" w:cs="Calibri"/>
          <w:noProof/>
        </w:rPr>
        <w:t xml:space="preserve"> 148(12): 1288–92. https://jamanetwork-com.libproxy.lib.unc.edu/journals/jamapediatrics/fullarticle/517392 (March 20, 2022).</w:t>
      </w:r>
    </w:p>
    <w:p w14:paraId="2113B1A0"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Kay’s, Simon Kayemba, and Peter C Hindmarsh. 2006. “Catch-up Growth: An Overview .” </w:t>
      </w:r>
      <w:r w:rsidRPr="00CD4388">
        <w:rPr>
          <w:rFonts w:ascii="Calibri" w:hAnsi="Calibri" w:cs="Calibri"/>
          <w:i/>
          <w:iCs/>
          <w:noProof/>
        </w:rPr>
        <w:t>Pediatric Endocrinology Review</w:t>
      </w:r>
      <w:r w:rsidRPr="00CD4388">
        <w:rPr>
          <w:rFonts w:ascii="Calibri" w:hAnsi="Calibri" w:cs="Calibri"/>
          <w:noProof/>
        </w:rPr>
        <w:t xml:space="preserve"> 3(4): 365–78. https://pubmed-ncbi-nlm-nih-gov.libproxy.lib.unc.edu/16816805/ (March 8, 2022).</w:t>
      </w:r>
    </w:p>
    <w:p w14:paraId="0B920FBC"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“Kenya’s Abortion Provisions - Center for Reproductive Rights.” https://reproductiverights.org/maps/provision/kenyas-abortion-provisions/ (April 6, 2022).</w:t>
      </w:r>
    </w:p>
    <w:p w14:paraId="7D725325"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“Kenya Country Profile - BBC News.” https://www.bbc.com/news/world-africa-13681341 (April 6, 2022).</w:t>
      </w:r>
    </w:p>
    <w:p w14:paraId="25ECA6F5"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Kenya health sector working group. 2021. </w:t>
      </w:r>
      <w:r w:rsidRPr="00CD4388">
        <w:rPr>
          <w:rFonts w:ascii="Calibri" w:hAnsi="Calibri" w:cs="Calibri"/>
          <w:i/>
          <w:iCs/>
          <w:noProof/>
        </w:rPr>
        <w:t>Health Sector Working Group Report. Medium Term Expenditure Fromework (MTEF) for the Period 2022/23-2024/25.</w:t>
      </w:r>
    </w:p>
    <w:p w14:paraId="02CDC9DE"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Kenya Ministry of Health. 2017. </w:t>
      </w:r>
      <w:r w:rsidRPr="00CD4388">
        <w:rPr>
          <w:rFonts w:ascii="Calibri" w:hAnsi="Calibri" w:cs="Calibri"/>
          <w:i/>
          <w:iCs/>
          <w:noProof/>
        </w:rPr>
        <w:t>Framework for the Implementation of Pre-Exposure Prophylaxis of HIV in Kenya</w:t>
      </w:r>
      <w:r w:rsidRPr="00CD4388">
        <w:rPr>
          <w:rFonts w:ascii="Calibri" w:hAnsi="Calibri" w:cs="Calibri"/>
          <w:noProof/>
        </w:rPr>
        <w:t>.</w:t>
      </w:r>
    </w:p>
    <w:p w14:paraId="2BC5FA5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Kenya National AIDS Control Council. 2018. </w:t>
      </w:r>
      <w:r w:rsidRPr="00CD4388">
        <w:rPr>
          <w:rFonts w:ascii="Calibri" w:hAnsi="Calibri" w:cs="Calibri"/>
          <w:i/>
          <w:iCs/>
          <w:noProof/>
        </w:rPr>
        <w:t>Kenya HIV Estimates Report 2018</w:t>
      </w:r>
      <w:r w:rsidRPr="00CD4388">
        <w:rPr>
          <w:rFonts w:ascii="Calibri" w:hAnsi="Calibri" w:cs="Calibri"/>
          <w:noProof/>
        </w:rPr>
        <w:t>.</w:t>
      </w:r>
    </w:p>
    <w:p w14:paraId="65222B15"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Kenya National Bureau of Statistics. 2011. </w:t>
      </w:r>
      <w:r w:rsidRPr="00CD4388">
        <w:rPr>
          <w:rFonts w:ascii="Calibri" w:hAnsi="Calibri" w:cs="Calibri"/>
          <w:i/>
          <w:iCs/>
          <w:noProof/>
        </w:rPr>
        <w:t>Kenya, Kisii County, Multiple Indicator Cluster Survey (MICS)</w:t>
      </w:r>
      <w:r w:rsidRPr="00CD4388">
        <w:rPr>
          <w:rFonts w:ascii="Calibri" w:hAnsi="Calibri" w:cs="Calibri"/>
          <w:noProof/>
        </w:rPr>
        <w:t>.</w:t>
      </w:r>
    </w:p>
    <w:p w14:paraId="6ADBB40C"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i/>
          <w:iCs/>
          <w:noProof/>
        </w:rPr>
        <w:t>Kenya National Nutrition Action Plan 2018-2022</w:t>
      </w:r>
      <w:r w:rsidRPr="00CD4388">
        <w:rPr>
          <w:rFonts w:ascii="Calibri" w:hAnsi="Calibri" w:cs="Calibri"/>
          <w:noProof/>
        </w:rPr>
        <w:t>. 2018. https://www.health.go.ke/wp-content/uploads/2020/10/Kenya-Nutrition-Action-Plan-2018-2022-POPULAR-VERSION.pdf (February 16, 2022).</w:t>
      </w:r>
    </w:p>
    <w:p w14:paraId="09970E0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i/>
          <w:iCs/>
          <w:noProof/>
        </w:rPr>
        <w:t>Kisii County Health Digest March 2018. Kisii County Department of Health, 2018.</w:t>
      </w:r>
      <w:r w:rsidRPr="00CD4388">
        <w:rPr>
          <w:rFonts w:ascii="Calibri" w:hAnsi="Calibri" w:cs="Calibri"/>
          <w:noProof/>
        </w:rPr>
        <w:t xml:space="preserve"> 2018.</w:t>
      </w:r>
    </w:p>
    <w:p w14:paraId="0301B1C2"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Li, Zhihui, Omar Karlsson, Rockli Kim, and S. V. Subramanian. 2021. “Distribution of Under-5 Deaths in the Neonatal, Postneonatal, and Childhood Periods: A Multicountry Analysis in 64 Low- and Middle-Income Countries.” </w:t>
      </w:r>
      <w:r w:rsidRPr="00CD4388">
        <w:rPr>
          <w:rFonts w:ascii="Calibri" w:hAnsi="Calibri" w:cs="Calibri"/>
          <w:i/>
          <w:iCs/>
          <w:noProof/>
        </w:rPr>
        <w:t>International Journal for Equity in Health</w:t>
      </w:r>
      <w:r w:rsidRPr="00CD4388">
        <w:rPr>
          <w:rFonts w:ascii="Calibri" w:hAnsi="Calibri" w:cs="Calibri"/>
          <w:noProof/>
        </w:rPr>
        <w:t xml:space="preserve"> 20(1): 1–11. https://equityhealthj.biomedcentral.com/articles/10.1186/s12939-021-01449-8 (March 20, 2022).</w:t>
      </w:r>
    </w:p>
    <w:p w14:paraId="730D0E14"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Lusambiliid, Adelaide M et al. 2020. “Deliver on Your Own: Disrespectful Maternity Care in Rural Kenya.” https://doi.org/10.1371/journal.pone.0214836 (March 29, 2022).</w:t>
      </w:r>
    </w:p>
    <w:p w14:paraId="56E214B8"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Maluccio, John A. et al. 2009. “The Impact of Improving Nutrition During Early Childhood on Education among Guatemalan Adults.” </w:t>
      </w:r>
      <w:r w:rsidRPr="00CD4388">
        <w:rPr>
          <w:rFonts w:ascii="Calibri" w:hAnsi="Calibri" w:cs="Calibri"/>
          <w:i/>
          <w:iCs/>
          <w:noProof/>
        </w:rPr>
        <w:t>The Economic Journal</w:t>
      </w:r>
      <w:r w:rsidRPr="00CD4388">
        <w:rPr>
          <w:rFonts w:ascii="Calibri" w:hAnsi="Calibri" w:cs="Calibri"/>
          <w:noProof/>
        </w:rPr>
        <w:t xml:space="preserve"> 119(537): 734–63. https://academic-oup-com.libproxy.lib.unc.edu/ej/article/119/537/734/5089552 (March 3, 2022).</w:t>
      </w:r>
    </w:p>
    <w:p w14:paraId="3A41C690"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Masaba, Brian Barasa, and Rose M. Mmusi-Phetoe. 2020. “Neonatal Survival in Sub-Sahara: A Review of Kenya and South Africa.” </w:t>
      </w:r>
      <w:r w:rsidRPr="00CD4388">
        <w:rPr>
          <w:rFonts w:ascii="Calibri" w:hAnsi="Calibri" w:cs="Calibri"/>
          <w:i/>
          <w:iCs/>
          <w:noProof/>
        </w:rPr>
        <w:t>Journal of Multidisciplinary Healthcare</w:t>
      </w:r>
      <w:r w:rsidRPr="00CD4388">
        <w:rPr>
          <w:rFonts w:ascii="Calibri" w:hAnsi="Calibri" w:cs="Calibri"/>
          <w:noProof/>
        </w:rPr>
        <w:t xml:space="preserve"> 13: 709. /pmc/articles/PMC7398680/ (March 20, 2022).</w:t>
      </w:r>
    </w:p>
    <w:p w14:paraId="086B557D"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“Maternal Diet | Breastfeeding | CDC.” https://www.cdc.gov/breastfeeding/breastfeeding-special-circumstances/diet-and-micronutrients/maternal-diet.html (March 20, 2022).</w:t>
      </w:r>
    </w:p>
    <w:p w14:paraId="18BB415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“Maternal Mortality in 2005 : Estimates Developed by WHO, UNICEF, UNFPA, and The World Bank.” https://apps.who.int/iris/handle/10665/43807 (April 6, 2022).</w:t>
      </w:r>
    </w:p>
    <w:p w14:paraId="62C6E239"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Ministry of Health Division of National Malaria Programme Nairobi Republic of Kenya Ministry of Health. 2021. “Kenya Malaria Indicator Survey 2020 Final Report.” </w:t>
      </w:r>
      <w:r w:rsidRPr="00CD4388">
        <w:rPr>
          <w:rFonts w:ascii="Calibri" w:hAnsi="Calibri" w:cs="Calibri"/>
          <w:noProof/>
        </w:rPr>
        <w:lastRenderedPageBreak/>
        <w:t>https://dhsprogram.com/pubs/pdf/MIS36/MIS36.pdf (February 16, 2022).</w:t>
      </w:r>
    </w:p>
    <w:p w14:paraId="02E19E52"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Ministry of Public Health and Sanitation and Ministry of Medical Services. 2011. </w:t>
      </w:r>
      <w:r w:rsidRPr="00CD4388">
        <w:rPr>
          <w:rFonts w:ascii="Calibri" w:hAnsi="Calibri" w:cs="Calibri"/>
          <w:i/>
          <w:iCs/>
          <w:noProof/>
        </w:rPr>
        <w:t>National Guidelines for Qualtiy Obstetrics and Perinatal Care</w:t>
      </w:r>
      <w:r w:rsidRPr="00CD4388">
        <w:rPr>
          <w:rFonts w:ascii="Calibri" w:hAnsi="Calibri" w:cs="Calibri"/>
          <w:noProof/>
        </w:rPr>
        <w:t>.</w:t>
      </w:r>
    </w:p>
    <w:p w14:paraId="24835BB3"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Moyo, Sizulu et al. 2018. “Equity of Antiretroviral Treatment Use in High HIV Burden Countries: Analyses of Data from Nationally-Representative Surveys in Kenya and South Africa.” </w:t>
      </w:r>
      <w:r w:rsidRPr="00CD4388">
        <w:rPr>
          <w:rFonts w:ascii="Calibri" w:hAnsi="Calibri" w:cs="Calibri"/>
          <w:i/>
          <w:iCs/>
          <w:noProof/>
        </w:rPr>
        <w:t>PLoS ONE</w:t>
      </w:r>
      <w:r w:rsidRPr="00CD4388">
        <w:rPr>
          <w:rFonts w:ascii="Calibri" w:hAnsi="Calibri" w:cs="Calibri"/>
          <w:noProof/>
        </w:rPr>
        <w:t xml:space="preserve"> 13(8). /pmc/articles/PMC6086417/ (April 6, 2022).</w:t>
      </w:r>
    </w:p>
    <w:p w14:paraId="5E61A670"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Mulatya, Diana Mutuku, and Caroline Ochieng. 2020. “Disease Burden and Risk Factors of Diarrhoea in Children under Five Years: Evidence from Kenya’s Demographic Health Survey 2014.” </w:t>
      </w:r>
      <w:r w:rsidRPr="00CD4388">
        <w:rPr>
          <w:rFonts w:ascii="Calibri" w:hAnsi="Calibri" w:cs="Calibri"/>
          <w:i/>
          <w:iCs/>
          <w:noProof/>
        </w:rPr>
        <w:t>International Journal of Infectious Diseases</w:t>
      </w:r>
      <w:r w:rsidRPr="00CD4388">
        <w:rPr>
          <w:rFonts w:ascii="Calibri" w:hAnsi="Calibri" w:cs="Calibri"/>
          <w:noProof/>
        </w:rPr>
        <w:t xml:space="preserve"> 93: 359–66.</w:t>
      </w:r>
    </w:p>
    <w:p w14:paraId="633B014F"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National Bureau of Statistics Nairobi, Kenya. 2015. “Republic of Kenya Kenya Demographic and Health Survey 2014.” www.DHSprogram.com. (February 16, 2022).</w:t>
      </w:r>
    </w:p>
    <w:p w14:paraId="69AE1FBE"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Ndwiga, Charity et al. 2020. “Clinical Presentation and Outcomes of Pre-Eclampsia and Eclampsia at a National Hospital, Kenya: A Retrospective Cohort Study.” </w:t>
      </w:r>
      <w:r w:rsidRPr="00CD4388">
        <w:rPr>
          <w:rFonts w:ascii="Calibri" w:hAnsi="Calibri" w:cs="Calibri"/>
          <w:i/>
          <w:iCs/>
          <w:noProof/>
        </w:rPr>
        <w:t>PLoS ONE</w:t>
      </w:r>
      <w:r w:rsidRPr="00CD4388">
        <w:rPr>
          <w:rFonts w:ascii="Calibri" w:hAnsi="Calibri" w:cs="Calibri"/>
          <w:noProof/>
        </w:rPr>
        <w:t xml:space="preserve"> 15(6). /pmc/articles/PMC7274433/ (April 6, 2022).</w:t>
      </w:r>
    </w:p>
    <w:p w14:paraId="5804B961"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Niru, James. 2018. </w:t>
      </w:r>
      <w:r w:rsidRPr="00CD4388">
        <w:rPr>
          <w:rFonts w:ascii="Calibri" w:hAnsi="Calibri" w:cs="Calibri"/>
          <w:i/>
          <w:iCs/>
          <w:noProof/>
        </w:rPr>
        <w:t>Knowledge Practice and Coverage Survey Report. Kitutu Chache South Subcounty</w:t>
      </w:r>
      <w:r w:rsidRPr="00CD4388">
        <w:rPr>
          <w:rFonts w:ascii="Calibri" w:hAnsi="Calibri" w:cs="Calibri"/>
          <w:noProof/>
        </w:rPr>
        <w:t>.</w:t>
      </w:r>
    </w:p>
    <w:p w14:paraId="484893A8"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Njuguna, John. 2019. “Progress in Sanitation among Poor Households in Kenya: Evidence from Demographic and Health Surveys.” </w:t>
      </w:r>
      <w:r w:rsidRPr="00CD4388">
        <w:rPr>
          <w:rFonts w:ascii="Calibri" w:hAnsi="Calibri" w:cs="Calibri"/>
          <w:i/>
          <w:iCs/>
          <w:noProof/>
        </w:rPr>
        <w:t>BMC Public Health</w:t>
      </w:r>
      <w:r w:rsidRPr="00CD4388">
        <w:rPr>
          <w:rFonts w:ascii="Calibri" w:hAnsi="Calibri" w:cs="Calibri"/>
          <w:noProof/>
        </w:rPr>
        <w:t xml:space="preserve"> 19(1): 1–8. https://bmcpublichealth-biomedcentral-com.libproxy.lib.unc.edu/articles/10.1186/s12889-019-6459-0 (March 20, 2022).</w:t>
      </w:r>
    </w:p>
    <w:p w14:paraId="23557092"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Njuguna, John, and Charles Muruka. 2017. “Open Defecation in Newly Created Kenyan Counties: A Situational Analysis.” </w:t>
      </w:r>
      <w:r w:rsidRPr="00CD4388">
        <w:rPr>
          <w:rFonts w:ascii="Calibri" w:hAnsi="Calibri" w:cs="Calibri"/>
          <w:i/>
          <w:iCs/>
          <w:noProof/>
        </w:rPr>
        <w:t>Journal of Health Care for the Poor and Underserved</w:t>
      </w:r>
      <w:r w:rsidRPr="00CD4388">
        <w:rPr>
          <w:rFonts w:ascii="Calibri" w:hAnsi="Calibri" w:cs="Calibri"/>
          <w:noProof/>
        </w:rPr>
        <w:t xml:space="preserve"> 28: 71–78.</w:t>
      </w:r>
    </w:p>
    <w:p w14:paraId="1FCC5108"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“Nutrition During Pregnancy | Johns Hopkins Medicine.” https://www.hopkinsmedicine.org/health/wellness-and-prevention/nutrition-during-pregnancy (March 20, 2022).</w:t>
      </w:r>
    </w:p>
    <w:p w14:paraId="7C4D580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i/>
          <w:iCs/>
          <w:noProof/>
        </w:rPr>
        <w:t>Nutrition in Adolescence- Issues and Challenge for the Health Sector</w:t>
      </w:r>
      <w:r w:rsidRPr="00CD4388">
        <w:rPr>
          <w:rFonts w:ascii="Calibri" w:hAnsi="Calibri" w:cs="Calibri"/>
          <w:noProof/>
        </w:rPr>
        <w:t>. 2005.</w:t>
      </w:r>
    </w:p>
    <w:p w14:paraId="3E36E041"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“Obstetric Fistula | United Nations Population Fund.” https://www.unfpa.org/obstetric-fistula (March 28, 2022).</w:t>
      </w:r>
    </w:p>
    <w:p w14:paraId="5A46040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Office of disease prevention and health promotion. “Healthy People 2020- Immunization and Infectious Diseases.” https://www.healthypeople.gov/2020/topics-objectives/topic/immunization-and-infectious-diseases/objectives.</w:t>
      </w:r>
    </w:p>
    <w:p w14:paraId="4B15D91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Okiro, Emelda A., Noel K. Joseph, Caroline W. Gitonga, and Robert W. Snow. 2020. “Anaemia among Kenyan Children: A Call for Improved Monitoring and Intervention in School-Aged Children.” </w:t>
      </w:r>
      <w:r w:rsidRPr="00CD4388">
        <w:rPr>
          <w:rFonts w:ascii="Calibri" w:hAnsi="Calibri" w:cs="Calibri"/>
          <w:i/>
          <w:iCs/>
          <w:noProof/>
        </w:rPr>
        <w:t>Transactions of The Royal Society of Tropical Medicine and Hygiene</w:t>
      </w:r>
      <w:r w:rsidRPr="00CD4388">
        <w:rPr>
          <w:rFonts w:ascii="Calibri" w:hAnsi="Calibri" w:cs="Calibri"/>
          <w:noProof/>
        </w:rPr>
        <w:t xml:space="preserve"> 114(8): 627–31. https://academic-oup-com.libproxy.lib.unc.edu/trstmh/article/114/8/627/5850370 (March 8, 2022).</w:t>
      </w:r>
    </w:p>
    <w:p w14:paraId="2035F89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Osendarp, Saskia et al. 2021. “The COVID-19 Crisis Will Exacerbate Maternal and Child Undernutrition and Child Mortality in Low- and Middle-Income Countries.” </w:t>
      </w:r>
      <w:r w:rsidRPr="00CD4388">
        <w:rPr>
          <w:rFonts w:ascii="Calibri" w:hAnsi="Calibri" w:cs="Calibri"/>
          <w:i/>
          <w:iCs/>
          <w:noProof/>
        </w:rPr>
        <w:t>Nature Food 2021 2:7</w:t>
      </w:r>
      <w:r w:rsidRPr="00CD4388">
        <w:rPr>
          <w:rFonts w:ascii="Calibri" w:hAnsi="Calibri" w:cs="Calibri"/>
          <w:noProof/>
        </w:rPr>
        <w:t xml:space="preserve"> 2(7): 476–84. https://www.nature.com/articles/s43016-021-00319-4 (February 16, 2022).</w:t>
      </w:r>
    </w:p>
    <w:p w14:paraId="518E52EE"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Othoo, DA, J Waudo, and EN Kuria. 2014. “Dietary Assessment of Vitamin A and Iron among Pregnant Women at Ndhiwa Sub District Hospital – Kenya.” </w:t>
      </w:r>
      <w:r w:rsidRPr="00CD4388">
        <w:rPr>
          <w:rFonts w:ascii="Calibri" w:hAnsi="Calibri" w:cs="Calibri"/>
          <w:i/>
          <w:iCs/>
          <w:noProof/>
        </w:rPr>
        <w:t>African Journal of Food, Agriculture, Nutrition and Development</w:t>
      </w:r>
      <w:r w:rsidRPr="00CD4388">
        <w:rPr>
          <w:rFonts w:ascii="Calibri" w:hAnsi="Calibri" w:cs="Calibri"/>
          <w:noProof/>
        </w:rPr>
        <w:t xml:space="preserve"> 14(5): 2114–28. </w:t>
      </w:r>
      <w:r w:rsidRPr="00CD4388">
        <w:rPr>
          <w:rFonts w:ascii="Calibri" w:hAnsi="Calibri" w:cs="Calibri"/>
          <w:noProof/>
        </w:rPr>
        <w:lastRenderedPageBreak/>
        <w:t>https://www.ajol.info/index.php/ajfand/article/view/107906 (March 28, 2022).</w:t>
      </w:r>
    </w:p>
    <w:p w14:paraId="5C105664"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Otieno, Grieven P. et al. 2020. “Impact of the Introduction of Rotavirus Vaccine on Hospital Admissions for Diarrhea Among Children in Kenya: A Controlled Interrupted Time-Series Analysis.” </w:t>
      </w:r>
      <w:r w:rsidRPr="00CD4388">
        <w:rPr>
          <w:rFonts w:ascii="Calibri" w:hAnsi="Calibri" w:cs="Calibri"/>
          <w:i/>
          <w:iCs/>
          <w:noProof/>
        </w:rPr>
        <w:t>Clinical infectious diseases : an official publication of the Infectious Diseases Society of America</w:t>
      </w:r>
      <w:r w:rsidRPr="00CD4388">
        <w:rPr>
          <w:rFonts w:ascii="Calibri" w:hAnsi="Calibri" w:cs="Calibri"/>
          <w:noProof/>
        </w:rPr>
        <w:t xml:space="preserve"> 70(11): 2306–13. https://pubmed-ncbi-nlm-nih-gov.libproxy.lib.unc.edu/31544211/ (March 20, 2022).</w:t>
      </w:r>
    </w:p>
    <w:p w14:paraId="79CF23AD"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Owolabi, Onikepe et al. 2020. “Incidence of Maternal Near-Miss in Kenya in 2018: Findings from a Nationally Representative Cross-Sectional Study in 54 Referral Hospitals.” </w:t>
      </w:r>
      <w:r w:rsidRPr="00CD4388">
        <w:rPr>
          <w:rFonts w:ascii="Calibri" w:hAnsi="Calibri" w:cs="Calibri"/>
          <w:i/>
          <w:iCs/>
          <w:noProof/>
        </w:rPr>
        <w:t>Scientific Reports 2020 10:1</w:t>
      </w:r>
      <w:r w:rsidRPr="00CD4388">
        <w:rPr>
          <w:rFonts w:ascii="Calibri" w:hAnsi="Calibri" w:cs="Calibri"/>
          <w:noProof/>
        </w:rPr>
        <w:t xml:space="preserve"> 10(1): 1–10. https://www.nature.com/articles/s41598-020-72144-x (March 30, 2022).</w:t>
      </w:r>
    </w:p>
    <w:p w14:paraId="1A988C8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i/>
          <w:iCs/>
          <w:noProof/>
        </w:rPr>
        <w:t>People Practicing Open Defecation (% of Population) - Kenya | Data</w:t>
      </w:r>
      <w:r w:rsidRPr="00CD4388">
        <w:rPr>
          <w:rFonts w:ascii="Calibri" w:hAnsi="Calibri" w:cs="Calibri"/>
          <w:noProof/>
        </w:rPr>
        <w:t>. 2020. https://data-worldbank-org.libproxy.lib.unc.edu/indicator/SH.STA.ODFC.ZS?locations=KE (March 20, 2022).</w:t>
      </w:r>
    </w:p>
    <w:p w14:paraId="6953C113"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Pintye, Jillian et al. 2018. “Brief Report: Integration of PrEP Services Into Routine Antenatal and Postnatal Care: Experiences From an Implementation Program in Western Kenya.” </w:t>
      </w:r>
      <w:r w:rsidRPr="00CD4388">
        <w:rPr>
          <w:rFonts w:ascii="Calibri" w:hAnsi="Calibri" w:cs="Calibri"/>
          <w:i/>
          <w:iCs/>
          <w:noProof/>
        </w:rPr>
        <w:t>Journal of acquired immune deficiency syndromes (1999)</w:t>
      </w:r>
      <w:r w:rsidRPr="00CD4388">
        <w:rPr>
          <w:rFonts w:ascii="Calibri" w:hAnsi="Calibri" w:cs="Calibri"/>
          <w:noProof/>
        </w:rPr>
        <w:t xml:space="preserve"> 79(5): 590–95. https://pubmed-ncbi-nlm-nih-gov.libproxy.lib.unc.edu/30204720/ (April 4, 2022).</w:t>
      </w:r>
    </w:p>
    <w:p w14:paraId="4D22F248"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“Pneumonia.” 2021. https://www.who.int/news-room/fact-sheets/detail/pneumonia (March 20, 2022).</w:t>
      </w:r>
    </w:p>
    <w:p w14:paraId="50B5A213"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“Pre-Exposure Prophylaxis (PrEP) | HIV Risk and Prevention | HIV/AIDS | CDC.” https://www.cdc.gov/hiv/risk/prep/index.html (April 6, 2022).</w:t>
      </w:r>
    </w:p>
    <w:p w14:paraId="63179EA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Ritchie, Hannah, and Max Roser. 2017. </w:t>
      </w:r>
      <w:r w:rsidRPr="00CD4388">
        <w:rPr>
          <w:rFonts w:ascii="Calibri" w:hAnsi="Calibri" w:cs="Calibri"/>
          <w:i/>
          <w:iCs/>
          <w:noProof/>
        </w:rPr>
        <w:t>Micronutrient Deficiency</w:t>
      </w:r>
      <w:r w:rsidRPr="00CD4388">
        <w:rPr>
          <w:rFonts w:ascii="Calibri" w:hAnsi="Calibri" w:cs="Calibri"/>
          <w:noProof/>
        </w:rPr>
        <w:t>. https://ourworldindata.org/micronutrient-deficiency?utm_medium=syndication (February 24, 2022).</w:t>
      </w:r>
    </w:p>
    <w:p w14:paraId="1C2E27C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Schmidt, Charles W. 2014. “Beyond Malnutrition: The Role of Sanitation in Stunted Growth.” </w:t>
      </w:r>
      <w:r w:rsidRPr="00CD4388">
        <w:rPr>
          <w:rFonts w:ascii="Calibri" w:hAnsi="Calibri" w:cs="Calibri"/>
          <w:i/>
          <w:iCs/>
          <w:noProof/>
        </w:rPr>
        <w:t>Environmental Health Perspectives</w:t>
      </w:r>
      <w:r w:rsidRPr="00CD4388">
        <w:rPr>
          <w:rFonts w:ascii="Calibri" w:hAnsi="Calibri" w:cs="Calibri"/>
          <w:noProof/>
        </w:rPr>
        <w:t xml:space="preserve"> 122(11): A298–303. http://dx.doi.org/10.1289/ehp.122-A298. (February 24, 2022).</w:t>
      </w:r>
    </w:p>
    <w:p w14:paraId="31B92FEC"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Singh, Susheela et al. 2013. </w:t>
      </w:r>
      <w:r w:rsidRPr="00CD4388">
        <w:rPr>
          <w:rFonts w:ascii="Calibri" w:hAnsi="Calibri" w:cs="Calibri"/>
          <w:i/>
          <w:iCs/>
          <w:noProof/>
        </w:rPr>
        <w:t>Incidence and Complications of Unsafe Abortion in Kenya | Guttmacher Institute</w:t>
      </w:r>
      <w:r w:rsidRPr="00CD4388">
        <w:rPr>
          <w:rFonts w:ascii="Calibri" w:hAnsi="Calibri" w:cs="Calibri"/>
          <w:noProof/>
        </w:rPr>
        <w:t>. https://www.guttmacher.org/report/incidence-and-complications-unsafe-abortion-kenya (April 6, 2022).</w:t>
      </w:r>
    </w:p>
    <w:p w14:paraId="28704BC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Soliman, Ashraf et al. 2021. “Early and Long-Term Consequences of Nutritional Stunting: From Childhood to Adulthood.” </w:t>
      </w:r>
      <w:r w:rsidRPr="00CD4388">
        <w:rPr>
          <w:rFonts w:ascii="Calibri" w:hAnsi="Calibri" w:cs="Calibri"/>
          <w:i/>
          <w:iCs/>
          <w:noProof/>
        </w:rPr>
        <w:t>Acta Bio Medica : Atenei Parmensis</w:t>
      </w:r>
      <w:r w:rsidRPr="00CD4388">
        <w:rPr>
          <w:rFonts w:ascii="Calibri" w:hAnsi="Calibri" w:cs="Calibri"/>
          <w:noProof/>
        </w:rPr>
        <w:t xml:space="preserve"> 92(1): 2021168. /pmc/articles/PMC7975963/ (February 16, 2022).</w:t>
      </w:r>
    </w:p>
    <w:p w14:paraId="7717B900"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“The UNICEF/WHO/WB Joint Child Malnutrition Estimates (JME) Group Released New Data for 2021.” https://www.who.int/news/item/06-05-2021-the-unicef-who-wb-joint-child-malnutrition-estimates-group-released-new-data-for-2021 (February 16, 2022).</w:t>
      </w:r>
    </w:p>
    <w:p w14:paraId="64213F8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The World Bank. 2020. </w:t>
      </w:r>
      <w:r w:rsidRPr="00CD4388">
        <w:rPr>
          <w:rFonts w:ascii="Calibri" w:hAnsi="Calibri" w:cs="Calibri"/>
          <w:i/>
          <w:iCs/>
          <w:noProof/>
        </w:rPr>
        <w:t>Mortality Rate, under-5 (per 1,000 Live Births) - Kenya</w:t>
      </w:r>
      <w:r w:rsidRPr="00CD4388">
        <w:rPr>
          <w:rFonts w:ascii="Calibri" w:hAnsi="Calibri" w:cs="Calibri"/>
          <w:noProof/>
        </w:rPr>
        <w:t>. https://data-worldbank-org.libproxy.lib.unc.edu/indicator/SH.DYN.MORT?locations=KE (March 8, 2022).</w:t>
      </w:r>
    </w:p>
    <w:p w14:paraId="6A8F8BC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Titaley, Christiana R. et al. 2010. “Iron and Folic Acid Supplements and Reduced Early Neonatal Deaths in Indonesia.” </w:t>
      </w:r>
      <w:r w:rsidRPr="00CD4388">
        <w:rPr>
          <w:rFonts w:ascii="Calibri" w:hAnsi="Calibri" w:cs="Calibri"/>
          <w:i/>
          <w:iCs/>
          <w:noProof/>
        </w:rPr>
        <w:t>Bulletin of the World Health Organization</w:t>
      </w:r>
      <w:r w:rsidRPr="00CD4388">
        <w:rPr>
          <w:rFonts w:ascii="Calibri" w:hAnsi="Calibri" w:cs="Calibri"/>
          <w:noProof/>
        </w:rPr>
        <w:t xml:space="preserve"> 88(7): 500. /pmc/articles/PMC2897981/ (March 30, 2022).</w:t>
      </w:r>
    </w:p>
    <w:p w14:paraId="1FF2AB7D"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“Types of ORS.” </w:t>
      </w:r>
      <w:r w:rsidRPr="00CD4388">
        <w:rPr>
          <w:rFonts w:ascii="Calibri" w:hAnsi="Calibri" w:cs="Calibri"/>
          <w:i/>
          <w:iCs/>
          <w:noProof/>
        </w:rPr>
        <w:t>Annals of Community Health</w:t>
      </w:r>
      <w:r w:rsidRPr="00CD4388">
        <w:rPr>
          <w:rFonts w:ascii="Calibri" w:hAnsi="Calibri" w:cs="Calibri"/>
          <w:noProof/>
        </w:rPr>
        <w:t xml:space="preserve">. http://www.annalsofcommunityhealth.in/ojs/index.php/AoCH/pages/view/ors (March 20, </w:t>
      </w:r>
      <w:r w:rsidRPr="00CD4388">
        <w:rPr>
          <w:rFonts w:ascii="Calibri" w:hAnsi="Calibri" w:cs="Calibri"/>
          <w:noProof/>
        </w:rPr>
        <w:lastRenderedPageBreak/>
        <w:t>2022).</w:t>
      </w:r>
    </w:p>
    <w:p w14:paraId="3BA98B7D"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Ugboko, Harriet U., Obinna C. Nwinyi, Solomon U. Oranusi, and John O. Oyewale. 2020. “Childhood Diarrhoeal Diseases in Developing Countries.” </w:t>
      </w:r>
      <w:r w:rsidRPr="00CD4388">
        <w:rPr>
          <w:rFonts w:ascii="Calibri" w:hAnsi="Calibri" w:cs="Calibri"/>
          <w:i/>
          <w:iCs/>
          <w:noProof/>
        </w:rPr>
        <w:t>Heliyon</w:t>
      </w:r>
      <w:r w:rsidRPr="00CD4388">
        <w:rPr>
          <w:rFonts w:ascii="Calibri" w:hAnsi="Calibri" w:cs="Calibri"/>
          <w:noProof/>
        </w:rPr>
        <w:t xml:space="preserve"> 6(4). /pmc/articles/PMC7160433/ (March 8, 2022).</w:t>
      </w:r>
    </w:p>
    <w:p w14:paraId="7259134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UNAIDS. 2014. </w:t>
      </w:r>
      <w:r w:rsidRPr="00CD4388">
        <w:rPr>
          <w:rFonts w:ascii="Calibri" w:hAnsi="Calibri" w:cs="Calibri"/>
          <w:i/>
          <w:iCs/>
          <w:noProof/>
        </w:rPr>
        <w:t>90-90-90. An Ambitious Treatment Target to Help End the AIDS Epidemic</w:t>
      </w:r>
      <w:r w:rsidRPr="00CD4388">
        <w:rPr>
          <w:rFonts w:ascii="Calibri" w:hAnsi="Calibri" w:cs="Calibri"/>
          <w:noProof/>
        </w:rPr>
        <w:t>.</w:t>
      </w:r>
    </w:p>
    <w:p w14:paraId="5E454E9A"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Wandera, Ernest Apondi et al. 2017. “Variation in Rotavirus Vaccine Coverage by Sub-Counties in Kenya.” </w:t>
      </w:r>
      <w:r w:rsidRPr="00CD4388">
        <w:rPr>
          <w:rFonts w:ascii="Calibri" w:hAnsi="Calibri" w:cs="Calibri"/>
          <w:i/>
          <w:iCs/>
          <w:noProof/>
        </w:rPr>
        <w:t>Tropical Medicine and Health</w:t>
      </w:r>
      <w:r w:rsidRPr="00CD4388">
        <w:rPr>
          <w:rFonts w:ascii="Calibri" w:hAnsi="Calibri" w:cs="Calibri"/>
          <w:noProof/>
        </w:rPr>
        <w:t xml:space="preserve"> 45(1): 1–5. https://tropmedhealth.biomedcentral.com/articles/10.1186/s41182-017-0051-z (March 20, 2022).</w:t>
      </w:r>
    </w:p>
    <w:p w14:paraId="23E5529F"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WHO/UNICEF Joint Monitoring Program. 2020. “Open Defecation.” https://washdata.org/monitoring/inequalities/open-defecation (March 28, 2022).</w:t>
      </w:r>
    </w:p>
    <w:p w14:paraId="2F9F6E16"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World Bank. 2022. “World Bank Indicators.” https://databank.worldbank.org/home.aspx.</w:t>
      </w:r>
    </w:p>
    <w:p w14:paraId="124F110B"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World health Organization. “Adolescent Health.” https://www.who.int/health-topics/adolescent-health#tab=tab_1 (March 8, 2022).</w:t>
      </w:r>
    </w:p>
    <w:p w14:paraId="7E4D9EAC"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World Health Organization. 2012. </w:t>
      </w:r>
      <w:r w:rsidRPr="00CD4388">
        <w:rPr>
          <w:rFonts w:ascii="Calibri" w:hAnsi="Calibri" w:cs="Calibri"/>
          <w:i/>
          <w:iCs/>
          <w:noProof/>
        </w:rPr>
        <w:t>Active Management of the Third Stage of Labor</w:t>
      </w:r>
      <w:r w:rsidRPr="00CD4388">
        <w:rPr>
          <w:rFonts w:ascii="Calibri" w:hAnsi="Calibri" w:cs="Calibri"/>
          <w:noProof/>
        </w:rPr>
        <w:t>.</w:t>
      </w:r>
    </w:p>
    <w:p w14:paraId="02CD17DC"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 2015. </w:t>
      </w:r>
      <w:r w:rsidRPr="00CD4388">
        <w:rPr>
          <w:rFonts w:ascii="Calibri" w:hAnsi="Calibri" w:cs="Calibri"/>
          <w:i/>
          <w:iCs/>
          <w:noProof/>
        </w:rPr>
        <w:t>WHO Statement on Caesarean Section Rates</w:t>
      </w:r>
      <w:r w:rsidRPr="00CD4388">
        <w:rPr>
          <w:rFonts w:ascii="Calibri" w:hAnsi="Calibri" w:cs="Calibri"/>
          <w:noProof/>
        </w:rPr>
        <w:t>.</w:t>
      </w:r>
    </w:p>
    <w:p w14:paraId="111911A4"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 2017. </w:t>
      </w:r>
      <w:r w:rsidRPr="00CD4388">
        <w:rPr>
          <w:rFonts w:ascii="Calibri" w:hAnsi="Calibri" w:cs="Calibri"/>
          <w:i/>
          <w:iCs/>
          <w:noProof/>
        </w:rPr>
        <w:t>Diarrhoeal Disease</w:t>
      </w:r>
      <w:r w:rsidRPr="00CD4388">
        <w:rPr>
          <w:rFonts w:ascii="Calibri" w:hAnsi="Calibri" w:cs="Calibri"/>
          <w:noProof/>
        </w:rPr>
        <w:t>. https://www.who.int/news-room/fact-sheets/detail/diarrhoeal-disease (March 8, 2022).</w:t>
      </w:r>
    </w:p>
    <w:p w14:paraId="09C67555"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 2020. </w:t>
      </w:r>
      <w:r w:rsidRPr="00CD4388">
        <w:rPr>
          <w:rFonts w:ascii="Calibri" w:hAnsi="Calibri" w:cs="Calibri"/>
          <w:i/>
          <w:iCs/>
          <w:noProof/>
        </w:rPr>
        <w:t>The Global Health Observatory- Stillbirth Rate (per 1000 Total Births)</w:t>
      </w:r>
      <w:r w:rsidRPr="00CD4388">
        <w:rPr>
          <w:rFonts w:ascii="Calibri" w:hAnsi="Calibri" w:cs="Calibri"/>
          <w:noProof/>
        </w:rPr>
        <w:t>. https://www.who.int/data/gho/data/indicators/indicator-details/GHO/stillbirth-rate-(per-1000-total-births) (March 20, 2022).</w:t>
      </w:r>
    </w:p>
    <w:p w14:paraId="1D900391"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 2021. </w:t>
      </w:r>
      <w:r w:rsidRPr="00CD4388">
        <w:rPr>
          <w:rFonts w:ascii="Calibri" w:hAnsi="Calibri" w:cs="Calibri"/>
          <w:i/>
          <w:iCs/>
          <w:noProof/>
        </w:rPr>
        <w:t>Global Progress Report on HIV, Viral Hepatitis and Sexually Transmitted Infections, 2021</w:t>
      </w:r>
      <w:r w:rsidRPr="00CD4388">
        <w:rPr>
          <w:rFonts w:ascii="Calibri" w:hAnsi="Calibri" w:cs="Calibri"/>
          <w:noProof/>
        </w:rPr>
        <w:t>. https://www.who.int/publications/i/item/9789240027077 (April 4, 2022).</w:t>
      </w:r>
    </w:p>
    <w:p w14:paraId="38E5824E"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 </w:t>
      </w:r>
      <w:r w:rsidRPr="00CD4388">
        <w:rPr>
          <w:rFonts w:ascii="Calibri" w:hAnsi="Calibri" w:cs="Calibri"/>
          <w:i/>
          <w:iCs/>
          <w:noProof/>
        </w:rPr>
        <w:t>Adolescent Country Profile- Kenya</w:t>
      </w:r>
      <w:r w:rsidRPr="00CD4388">
        <w:rPr>
          <w:rFonts w:ascii="Calibri" w:hAnsi="Calibri" w:cs="Calibri"/>
          <w:noProof/>
        </w:rPr>
        <w:t>. https://platform.who.int/data/maternal-newborn-child-adolescent-ageing/static-visualizations/adolescent-country-profile.</w:t>
      </w:r>
    </w:p>
    <w:p w14:paraId="57C4BFC1" w14:textId="77777777" w:rsidR="000F3F93" w:rsidRPr="00CD4388" w:rsidRDefault="000F3F93" w:rsidP="000F3F93">
      <w:pPr>
        <w:widowControl w:val="0"/>
        <w:autoSpaceDE w:val="0"/>
        <w:autoSpaceDN w:val="0"/>
        <w:adjustRightInd w:val="0"/>
        <w:ind w:left="480" w:hanging="480"/>
        <w:rPr>
          <w:rFonts w:ascii="Calibri" w:hAnsi="Calibri" w:cs="Calibri"/>
          <w:noProof/>
        </w:rPr>
      </w:pPr>
      <w:r w:rsidRPr="00CD4388">
        <w:rPr>
          <w:rFonts w:ascii="Calibri" w:hAnsi="Calibri" w:cs="Calibri"/>
          <w:noProof/>
        </w:rPr>
        <w:t xml:space="preserve">Wright, Charlotte M. et al. 2021. “Wasting and Stunting in Infants and Young Children as Risk Factors for Subsequent Stunting or Mortality: Longitudinal Analysis of Data from Malawi, South Africa, and Pakistan.” </w:t>
      </w:r>
      <w:r w:rsidRPr="00CD4388">
        <w:rPr>
          <w:rFonts w:ascii="Calibri" w:hAnsi="Calibri" w:cs="Calibri"/>
          <w:i/>
          <w:iCs/>
          <w:noProof/>
        </w:rPr>
        <w:t>The Journal of Nutrition</w:t>
      </w:r>
      <w:r w:rsidRPr="00CD4388">
        <w:rPr>
          <w:rFonts w:ascii="Calibri" w:hAnsi="Calibri" w:cs="Calibri"/>
          <w:noProof/>
        </w:rPr>
        <w:t xml:space="preserve"> 151(7): 2022–28. https://academic.oup.com/jn/article/151/7/2022/6217443 (February 16, 2022).</w:t>
      </w:r>
    </w:p>
    <w:p w14:paraId="6EDDD338" w14:textId="31FD2BA7" w:rsidR="00102737" w:rsidRDefault="000F3F93" w:rsidP="000F3F93">
      <w:r w:rsidRPr="001A5B90">
        <w:fldChar w:fldCharType="end"/>
      </w:r>
    </w:p>
    <w:p w14:paraId="017BFEEB" w14:textId="0CEF31E6" w:rsidR="00102737" w:rsidRDefault="00102737" w:rsidP="00102737"/>
    <w:p w14:paraId="13C356DE" w14:textId="4B8093B4" w:rsidR="00102737" w:rsidRPr="00102737" w:rsidRDefault="00102737" w:rsidP="00102737"/>
    <w:sectPr w:rsidR="00102737" w:rsidRPr="00102737" w:rsidSect="0094733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04A2" w14:textId="77777777" w:rsidR="00EE79BE" w:rsidRDefault="00EE79BE" w:rsidP="00F65725">
      <w:r>
        <w:separator/>
      </w:r>
    </w:p>
  </w:endnote>
  <w:endnote w:type="continuationSeparator" w:id="0">
    <w:p w14:paraId="19DAEA33" w14:textId="77777777" w:rsidR="00EE79BE" w:rsidRDefault="00EE79BE" w:rsidP="00F6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6E24" w14:textId="77777777" w:rsidR="00EE79BE" w:rsidRDefault="00EE79BE" w:rsidP="00F65725">
      <w:r>
        <w:separator/>
      </w:r>
    </w:p>
  </w:footnote>
  <w:footnote w:type="continuationSeparator" w:id="0">
    <w:p w14:paraId="3322507B" w14:textId="77777777" w:rsidR="00EE79BE" w:rsidRDefault="00EE79BE" w:rsidP="00F65725">
      <w:r>
        <w:continuationSeparator/>
      </w:r>
    </w:p>
  </w:footnote>
  <w:footnote w:id="1">
    <w:p w14:paraId="3629D374" w14:textId="011674F2" w:rsidR="00682502" w:rsidRDefault="00682502">
      <w:pPr>
        <w:pStyle w:val="FootnoteText"/>
      </w:pPr>
      <w:r w:rsidRPr="00682502">
        <w:rPr>
          <w:rStyle w:val="FootnoteReference"/>
        </w:rPr>
        <w:footnoteRef/>
      </w:r>
      <w:r>
        <w:t xml:space="preserve"> </w:t>
      </w:r>
      <w:r w:rsidRPr="00F65725">
        <w:rPr>
          <w:rFonts w:ascii="Calibri" w:hAnsi="Calibri" w:cs="Calibri"/>
          <w:noProof/>
          <w:sz w:val="18"/>
        </w:rPr>
        <w:t>globalEDGE. Kenya: Introduction. Accessed April 6, 2022. https://globaledge.msu.edu/countries/kenya</w:t>
      </w:r>
    </w:p>
  </w:footnote>
  <w:footnote w:id="2">
    <w:p w14:paraId="379BA21E" w14:textId="5214200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Kenya country profile - BBC News. Accessed April 6, 2022. https://www.bbc.com/news/world-africa-13681341</w:t>
      </w:r>
    </w:p>
  </w:footnote>
  <w:footnote w:id="3">
    <w:p w14:paraId="11BAE62D" w14:textId="06F2548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About Kisii County. Accessed April 6, 2022. https://www.kisii.go.ke/index.php/county-profile/vision-and-mission?tmpl=component&amp;print=1</w:t>
      </w:r>
    </w:p>
  </w:footnote>
  <w:footnote w:id="4">
    <w:p w14:paraId="40B30614" w14:textId="19124030" w:rsidR="00682502" w:rsidRDefault="00682502">
      <w:pPr>
        <w:pStyle w:val="FootnoteText"/>
      </w:pPr>
      <w:r w:rsidRPr="00682502">
        <w:rPr>
          <w:rStyle w:val="FootnoteReference"/>
        </w:rPr>
        <w:footnoteRef/>
      </w:r>
      <w:r>
        <w:t xml:space="preserve"> ibid</w:t>
      </w:r>
    </w:p>
  </w:footnote>
  <w:footnote w:id="5">
    <w:p w14:paraId="3C0DE901" w14:textId="21AC0A2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6">
    <w:p w14:paraId="2EFE1059" w14:textId="75BABF5A" w:rsidR="00682502" w:rsidRDefault="00682502">
      <w:pPr>
        <w:pStyle w:val="FootnoteText"/>
      </w:pPr>
      <w:r w:rsidRPr="00682502">
        <w:rPr>
          <w:rStyle w:val="FootnoteReference"/>
        </w:rPr>
        <w:footnoteRef/>
      </w:r>
      <w:r>
        <w:t xml:space="preserve"> ibid</w:t>
      </w:r>
    </w:p>
  </w:footnote>
  <w:footnote w:id="7">
    <w:p w14:paraId="2D94FD72" w14:textId="1B1196A7" w:rsidR="00682502" w:rsidRDefault="00682502">
      <w:pPr>
        <w:pStyle w:val="FootnoteText"/>
      </w:pPr>
      <w:r w:rsidRPr="00682502">
        <w:rPr>
          <w:rStyle w:val="FootnoteReference"/>
        </w:rPr>
        <w:footnoteRef/>
      </w:r>
      <w:r>
        <w:t xml:space="preserve"> ibid</w:t>
      </w:r>
    </w:p>
  </w:footnote>
  <w:footnote w:id="8">
    <w:p w14:paraId="37969920" w14:textId="2C9755D0" w:rsidR="00682502" w:rsidRDefault="00682502">
      <w:pPr>
        <w:pStyle w:val="FootnoteText"/>
      </w:pPr>
      <w:r w:rsidRPr="00682502">
        <w:rPr>
          <w:rStyle w:val="FootnoteReference"/>
        </w:rPr>
        <w:footnoteRef/>
      </w:r>
      <w:r>
        <w:t xml:space="preserve"> </w:t>
      </w:r>
      <w:r w:rsidRPr="009443ED">
        <w:rPr>
          <w:rFonts w:ascii="Calibri" w:hAnsi="Calibri" w:cs="Calibri"/>
          <w:noProof/>
          <w:sz w:val="18"/>
          <w:szCs w:val="18"/>
          <w:highlight w:val="yellow"/>
        </w:rPr>
        <w:t>Institute for Health Metrics and Evaluation (IHME). GBD Compare. Seattle, WA: IHME University of Washington, 2019. Available from https://vizhub.healthdata.org/gbd-compare/ (Accessed Feb 28, 2022).</w:t>
      </w:r>
    </w:p>
  </w:footnote>
  <w:footnote w:id="9">
    <w:p w14:paraId="3261F401" w14:textId="6CCA356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10">
    <w:p w14:paraId="72899DCF" w14:textId="4140008F" w:rsidR="00682502" w:rsidRDefault="00682502">
      <w:pPr>
        <w:pStyle w:val="FootnoteText"/>
      </w:pPr>
      <w:r w:rsidRPr="00682502">
        <w:rPr>
          <w:rStyle w:val="FootnoteReference"/>
        </w:rPr>
        <w:footnoteRef/>
      </w:r>
      <w:r>
        <w:t xml:space="preserve"> ibid</w:t>
      </w:r>
    </w:p>
  </w:footnote>
  <w:footnote w:id="11">
    <w:p w14:paraId="32D032B4" w14:textId="77EEA60D"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Ministry of Public Health and Sanitation and Ministry of Medical Services. </w:t>
      </w:r>
      <w:r w:rsidRPr="00355CF8">
        <w:rPr>
          <w:rFonts w:ascii="Calibri" w:hAnsi="Calibri" w:cs="Calibri"/>
          <w:i/>
          <w:iCs/>
          <w:noProof/>
          <w:sz w:val="18"/>
          <w:szCs w:val="18"/>
        </w:rPr>
        <w:t>National Guidelines for Qualtiy Obstetrics and Perinatal Care</w:t>
      </w:r>
      <w:r w:rsidRPr="00355CF8">
        <w:rPr>
          <w:rFonts w:ascii="Calibri" w:hAnsi="Calibri" w:cs="Calibri"/>
          <w:noProof/>
          <w:sz w:val="18"/>
          <w:szCs w:val="18"/>
        </w:rPr>
        <w:t>.; 2011.</w:t>
      </w:r>
    </w:p>
  </w:footnote>
  <w:footnote w:id="12">
    <w:p w14:paraId="5B1FA55D" w14:textId="19441FC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Ministry of Health Division of National Malaria Programme Nairobi Republic of Kenya Ministry of Health. Kenya Malaria Indicator Survey 2020 Final Report. Published online 2021. Accessed February 16, 2022. https://dhsprogram.com/pubs/pdf/MIS36/MIS36.pdf</w:t>
      </w:r>
    </w:p>
  </w:footnote>
  <w:footnote w:id="13">
    <w:p w14:paraId="7A6986A8" w14:textId="1779958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Ministry of Health Division of National Malaria Programme Nairobi Republic of Kenya Ministry of Health. Kenya Malaria Indicator Survey 2020 Final Report. Published online 2021. Accessed February 16, 2022. https://dhsprogram.com/pubs/pdf/MIS36/MIS36.pdf</w:t>
      </w:r>
    </w:p>
  </w:footnote>
  <w:footnote w:id="14">
    <w:p w14:paraId="27A556FA" w14:textId="4A1BD86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Niru J. </w:t>
      </w:r>
      <w:r w:rsidRPr="00355CF8">
        <w:rPr>
          <w:rFonts w:ascii="Calibri" w:hAnsi="Calibri" w:cs="Calibri"/>
          <w:i/>
          <w:iCs/>
          <w:noProof/>
          <w:sz w:val="18"/>
          <w:szCs w:val="18"/>
        </w:rPr>
        <w:t>Knowledge Practice and Coverage Survey Report. Kitutu Chache South Subcounty</w:t>
      </w:r>
      <w:r w:rsidRPr="00355CF8">
        <w:rPr>
          <w:rFonts w:ascii="Calibri" w:hAnsi="Calibri" w:cs="Calibri"/>
          <w:noProof/>
          <w:sz w:val="18"/>
          <w:szCs w:val="18"/>
        </w:rPr>
        <w:t>.; 2018.</w:t>
      </w:r>
    </w:p>
  </w:footnote>
  <w:footnote w:id="15">
    <w:p w14:paraId="6FF4674A" w14:textId="4021C10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National Bureau of Statistics. </w:t>
      </w:r>
      <w:r w:rsidRPr="00355CF8">
        <w:rPr>
          <w:rFonts w:ascii="Calibri" w:hAnsi="Calibri" w:cs="Calibri"/>
          <w:i/>
          <w:iCs/>
          <w:noProof/>
          <w:sz w:val="18"/>
          <w:szCs w:val="18"/>
        </w:rPr>
        <w:t>Kenya, Kisii County, Multiple Indicator Cluster Survey (MICS)</w:t>
      </w:r>
      <w:r w:rsidRPr="00355CF8">
        <w:rPr>
          <w:rFonts w:ascii="Calibri" w:hAnsi="Calibri" w:cs="Calibri"/>
          <w:noProof/>
          <w:sz w:val="18"/>
          <w:szCs w:val="18"/>
        </w:rPr>
        <w:t>.; 2011.</w:t>
      </w:r>
    </w:p>
  </w:footnote>
  <w:footnote w:id="16">
    <w:p w14:paraId="6B00DA5B" w14:textId="29158846"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Ministry of Health Division of National Malaria Programme Nairobi Republic of Kenya Ministry of Health. </w:t>
      </w:r>
      <w:r>
        <w:rPr>
          <w:rFonts w:ascii="Calibri" w:hAnsi="Calibri" w:cs="Calibri"/>
          <w:noProof/>
          <w:sz w:val="18"/>
          <w:szCs w:val="18"/>
        </w:rPr>
        <w:t>Op. cit.</w:t>
      </w:r>
    </w:p>
  </w:footnote>
  <w:footnote w:id="17">
    <w:p w14:paraId="074A5D12" w14:textId="755EA55E" w:rsidR="00682502" w:rsidRDefault="00682502">
      <w:pPr>
        <w:pStyle w:val="FootnoteText"/>
      </w:pPr>
      <w:r w:rsidRPr="00682502">
        <w:rPr>
          <w:rStyle w:val="FootnoteReference"/>
        </w:rPr>
        <w:footnoteRef/>
      </w:r>
      <w:r>
        <w:t xml:space="preserve"> ibid</w:t>
      </w:r>
    </w:p>
  </w:footnote>
  <w:footnote w:id="18">
    <w:p w14:paraId="19EBA9BD" w14:textId="33F03797" w:rsidR="00682502" w:rsidRDefault="00682502">
      <w:pPr>
        <w:pStyle w:val="FootnoteText"/>
      </w:pPr>
      <w:r w:rsidRPr="00682502">
        <w:rPr>
          <w:rStyle w:val="FootnoteReference"/>
        </w:rPr>
        <w:footnoteRef/>
      </w:r>
      <w:r>
        <w:t xml:space="preserve"> ibid</w:t>
      </w:r>
    </w:p>
  </w:footnote>
  <w:footnote w:id="19">
    <w:p w14:paraId="63AAC75A" w14:textId="2B64E1DA" w:rsidR="00682502" w:rsidRDefault="00682502">
      <w:pPr>
        <w:pStyle w:val="FootnoteText"/>
      </w:pPr>
      <w:r w:rsidRPr="00682502">
        <w:rPr>
          <w:rStyle w:val="FootnoteReference"/>
        </w:rPr>
        <w:footnoteRef/>
      </w:r>
      <w:r>
        <w:t xml:space="preserve"> ibid</w:t>
      </w:r>
    </w:p>
  </w:footnote>
  <w:footnote w:id="20">
    <w:p w14:paraId="25376102" w14:textId="207BA880"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Nutrition During Pregnancy | Johns Hopkins Medicine. Accessed March 20, 2022. https://www.hopkinsmedicine.org/health/wellness-and-prevention/nutrition-during-pregnancy</w:t>
      </w:r>
    </w:p>
  </w:footnote>
  <w:footnote w:id="21">
    <w:p w14:paraId="54F2D180" w14:textId="448E874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Kamau MW, Mirie W, Kimani S. Compliance with Iron and folic acid supplementation (IFAS) and associated factors among pregnant women: Results from a cross-sectional study in Kiambu County, Kenya. </w:t>
      </w:r>
      <w:r w:rsidRPr="00355CF8">
        <w:rPr>
          <w:rFonts w:ascii="Calibri" w:hAnsi="Calibri" w:cs="Calibri"/>
          <w:i/>
          <w:iCs/>
          <w:noProof/>
          <w:sz w:val="18"/>
          <w:szCs w:val="18"/>
        </w:rPr>
        <w:t>BMC Public Health</w:t>
      </w:r>
      <w:r w:rsidRPr="00355CF8">
        <w:rPr>
          <w:rFonts w:ascii="Calibri" w:hAnsi="Calibri" w:cs="Calibri"/>
          <w:noProof/>
          <w:sz w:val="18"/>
          <w:szCs w:val="18"/>
        </w:rPr>
        <w:t>. 2018;18(1):1-10. doi:10.1186/S12889-018-5437-2/FIGURES/1</w:t>
      </w:r>
    </w:p>
  </w:footnote>
  <w:footnote w:id="22">
    <w:p w14:paraId="48836911" w14:textId="394D555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Titaley CR, Dibley MJ, Roberts CL, Hall J, Agho K. Iron and folic acid supplements and reduced early neonatal deaths in Indonesia. </w:t>
      </w:r>
      <w:r w:rsidRPr="00355CF8">
        <w:rPr>
          <w:rFonts w:ascii="Calibri" w:hAnsi="Calibri" w:cs="Calibri"/>
          <w:i/>
          <w:iCs/>
          <w:noProof/>
          <w:sz w:val="18"/>
          <w:szCs w:val="18"/>
        </w:rPr>
        <w:t>Bull World Health Organ</w:t>
      </w:r>
      <w:r w:rsidRPr="00355CF8">
        <w:rPr>
          <w:rFonts w:ascii="Calibri" w:hAnsi="Calibri" w:cs="Calibri"/>
          <w:noProof/>
          <w:sz w:val="18"/>
          <w:szCs w:val="18"/>
        </w:rPr>
        <w:t>. 2010;88(7):500. doi:10.2471/BLT.09.065813</w:t>
      </w:r>
    </w:p>
  </w:footnote>
  <w:footnote w:id="23">
    <w:p w14:paraId="32416003" w14:textId="5E046F78" w:rsidR="00682502" w:rsidRDefault="00682502">
      <w:pPr>
        <w:pStyle w:val="FootnoteText"/>
      </w:pPr>
      <w:r w:rsidRPr="00682502">
        <w:rPr>
          <w:rStyle w:val="FootnoteReference"/>
        </w:rPr>
        <w:footnoteRef/>
      </w:r>
      <w:r>
        <w:t xml:space="preserve"> Kamau et al. op. cit.</w:t>
      </w:r>
    </w:p>
  </w:footnote>
  <w:footnote w:id="24">
    <w:p w14:paraId="73934284" w14:textId="20AA3BEB" w:rsidR="00682502" w:rsidRDefault="00682502">
      <w:pPr>
        <w:pStyle w:val="FootnoteText"/>
      </w:pPr>
      <w:r w:rsidRPr="00682502">
        <w:rPr>
          <w:rStyle w:val="FootnoteReference"/>
        </w:rPr>
        <w:footnoteRef/>
      </w:r>
      <w:r>
        <w:t xml:space="preserve"> ibid</w:t>
      </w:r>
    </w:p>
  </w:footnote>
  <w:footnote w:id="25">
    <w:p w14:paraId="7C8752BC" w14:textId="12DDD15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Kamau MW, Mirie W, Kimani S. Compliance with Iron and folic acid supplementation (IFAS) and associated factors among pregnant women: Results from a cross-sectional study in Kiambu County, Kenya. </w:t>
      </w:r>
      <w:r w:rsidRPr="00355CF8">
        <w:rPr>
          <w:rFonts w:ascii="Calibri" w:hAnsi="Calibri" w:cs="Calibri"/>
          <w:i/>
          <w:iCs/>
          <w:noProof/>
          <w:sz w:val="18"/>
          <w:szCs w:val="18"/>
        </w:rPr>
        <w:t>BMC Public Health</w:t>
      </w:r>
      <w:r w:rsidRPr="00355CF8">
        <w:rPr>
          <w:rFonts w:ascii="Calibri" w:hAnsi="Calibri" w:cs="Calibri"/>
          <w:noProof/>
          <w:sz w:val="18"/>
          <w:szCs w:val="18"/>
        </w:rPr>
        <w:t>. 2018;18(1):1-10. doi:10.1186/S12889-018-5437-2/FIGURES/1</w:t>
      </w:r>
    </w:p>
  </w:footnote>
  <w:footnote w:id="26">
    <w:p w14:paraId="70376947" w14:textId="44B32EB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Active Management of the Third Stage of Labor</w:t>
      </w:r>
      <w:r w:rsidRPr="00355CF8">
        <w:rPr>
          <w:rFonts w:ascii="Calibri" w:hAnsi="Calibri" w:cs="Calibri"/>
          <w:noProof/>
          <w:sz w:val="18"/>
          <w:szCs w:val="18"/>
        </w:rPr>
        <w:t>.; 2012. doi:10.1016/S0140-6736(12)60206-2</w:t>
      </w:r>
    </w:p>
  </w:footnote>
  <w:footnote w:id="27">
    <w:p w14:paraId="5BE39026" w14:textId="1423928B" w:rsidR="00682502" w:rsidRDefault="00682502">
      <w:pPr>
        <w:pStyle w:val="FootnoteText"/>
      </w:pPr>
      <w:r w:rsidRPr="00682502">
        <w:rPr>
          <w:rStyle w:val="FootnoteReference"/>
        </w:rPr>
        <w:footnoteRef/>
      </w:r>
      <w:r>
        <w:t xml:space="preserve"> ibid</w:t>
      </w:r>
    </w:p>
  </w:footnote>
  <w:footnote w:id="28">
    <w:p w14:paraId="74E4C3CD" w14:textId="73384712" w:rsidR="00682502" w:rsidRDefault="00682502">
      <w:pPr>
        <w:pStyle w:val="FootnoteText"/>
      </w:pPr>
      <w:r w:rsidRPr="00682502">
        <w:rPr>
          <w:rStyle w:val="FootnoteReference"/>
        </w:rPr>
        <w:footnoteRef/>
      </w:r>
      <w:r>
        <w:t xml:space="preserve"> ibid</w:t>
      </w:r>
    </w:p>
  </w:footnote>
  <w:footnote w:id="29">
    <w:p w14:paraId="3C7A06AC" w14:textId="45C438E9"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Niru J. </w:t>
      </w:r>
      <w:r w:rsidRPr="00355CF8">
        <w:rPr>
          <w:rFonts w:ascii="Calibri" w:hAnsi="Calibri" w:cs="Calibri"/>
          <w:i/>
          <w:iCs/>
          <w:noProof/>
          <w:sz w:val="18"/>
          <w:szCs w:val="18"/>
        </w:rPr>
        <w:t>Knowledge Practice and Coverage Survey Report. Kitutu Chache South Subcounty</w:t>
      </w:r>
      <w:r w:rsidRPr="00355CF8">
        <w:rPr>
          <w:rFonts w:ascii="Calibri" w:hAnsi="Calibri" w:cs="Calibri"/>
          <w:noProof/>
          <w:sz w:val="18"/>
          <w:szCs w:val="18"/>
        </w:rPr>
        <w:t>.; 2018.</w:t>
      </w:r>
    </w:p>
  </w:footnote>
  <w:footnote w:id="30">
    <w:p w14:paraId="00F37BF6" w14:textId="0B6B29B9"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Bartlett L, Cantor D, Lynam P, et al. Facility-based active management of the third stage of labour: assessment of quality in six countries in sub-Saharan Africa. </w:t>
      </w:r>
      <w:r w:rsidRPr="00355CF8">
        <w:rPr>
          <w:rFonts w:ascii="Calibri" w:hAnsi="Calibri" w:cs="Calibri"/>
          <w:i/>
          <w:iCs/>
          <w:noProof/>
          <w:sz w:val="18"/>
          <w:szCs w:val="18"/>
        </w:rPr>
        <w:t>Bull World Heal Organ</w:t>
      </w:r>
      <w:r w:rsidRPr="00355CF8">
        <w:rPr>
          <w:rFonts w:ascii="Calibri" w:hAnsi="Calibri" w:cs="Calibri"/>
          <w:noProof/>
          <w:sz w:val="18"/>
          <w:szCs w:val="18"/>
        </w:rPr>
        <w:t>. 2015;93.</w:t>
      </w:r>
    </w:p>
  </w:footnote>
  <w:footnote w:id="31">
    <w:p w14:paraId="24353906" w14:textId="03E9D43A" w:rsidR="00682502" w:rsidRDefault="00682502">
      <w:pPr>
        <w:pStyle w:val="FootnoteText"/>
      </w:pPr>
      <w:r w:rsidRPr="00682502">
        <w:rPr>
          <w:rStyle w:val="FootnoteReference"/>
        </w:rPr>
        <w:footnoteRef/>
      </w:r>
      <w:r>
        <w:t xml:space="preserve"> ibid</w:t>
      </w:r>
    </w:p>
  </w:footnote>
  <w:footnote w:id="32">
    <w:p w14:paraId="7EE05445" w14:textId="61AE385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33">
    <w:p w14:paraId="46CE8A58" w14:textId="13DE4B2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Center for Reproductive Rights and Federation of Women Lawyers- Kenya. </w:t>
      </w:r>
      <w:r w:rsidRPr="00355CF8">
        <w:rPr>
          <w:rFonts w:ascii="Calibri" w:hAnsi="Calibri" w:cs="Calibri"/>
          <w:i/>
          <w:iCs/>
          <w:noProof/>
          <w:sz w:val="18"/>
          <w:szCs w:val="18"/>
        </w:rPr>
        <w:t>Failure to Deliver. Violations of Women’s Human Rights in Kenyan Health Facilities.</w:t>
      </w:r>
      <w:r w:rsidRPr="00355CF8">
        <w:rPr>
          <w:rFonts w:ascii="Calibri" w:hAnsi="Calibri" w:cs="Calibri"/>
          <w:noProof/>
          <w:sz w:val="18"/>
          <w:szCs w:val="18"/>
        </w:rPr>
        <w:t>; 2007.</w:t>
      </w:r>
    </w:p>
  </w:footnote>
  <w:footnote w:id="34">
    <w:p w14:paraId="62C70FEC" w14:textId="0857EC44" w:rsidR="00682502" w:rsidRDefault="00682502">
      <w:pPr>
        <w:pStyle w:val="FootnoteText"/>
      </w:pPr>
      <w:r w:rsidRPr="00682502">
        <w:rPr>
          <w:rStyle w:val="FootnoteReference"/>
        </w:rPr>
        <w:footnoteRef/>
      </w:r>
      <w:r>
        <w:t xml:space="preserve"> ibid</w:t>
      </w:r>
    </w:p>
  </w:footnote>
  <w:footnote w:id="35">
    <w:p w14:paraId="61DA1DE2" w14:textId="111955B8" w:rsidR="00682502" w:rsidRDefault="00682502">
      <w:pPr>
        <w:pStyle w:val="FootnoteText"/>
      </w:pPr>
      <w:r w:rsidRPr="00682502">
        <w:rPr>
          <w:rStyle w:val="FootnoteReference"/>
        </w:rPr>
        <w:footnoteRef/>
      </w:r>
      <w:r>
        <w:t xml:space="preserve"> ibid</w:t>
      </w:r>
    </w:p>
  </w:footnote>
  <w:footnote w:id="36">
    <w:p w14:paraId="7DCEF173" w14:textId="46E9B220"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Abuya T, Warren CE, Miller N, et al. Exploring the Prevalence of Disrespect and Abuse during Childbirth in Kenya. </w:t>
      </w:r>
      <w:r w:rsidRPr="00355CF8">
        <w:rPr>
          <w:rFonts w:ascii="Calibri" w:hAnsi="Calibri" w:cs="Calibri"/>
          <w:i/>
          <w:iCs/>
          <w:noProof/>
          <w:sz w:val="18"/>
          <w:szCs w:val="18"/>
        </w:rPr>
        <w:t>PLoS One</w:t>
      </w:r>
      <w:r w:rsidRPr="00355CF8">
        <w:rPr>
          <w:rFonts w:ascii="Calibri" w:hAnsi="Calibri" w:cs="Calibri"/>
          <w:noProof/>
          <w:sz w:val="18"/>
          <w:szCs w:val="18"/>
        </w:rPr>
        <w:t>. 2015;10(4):e0123606. doi:10.1371/JOURNAL.PONE.0123606</w:t>
      </w:r>
    </w:p>
  </w:footnote>
  <w:footnote w:id="37">
    <w:p w14:paraId="1234622F" w14:textId="1BBC50E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Gitobu CM, Gichangi PB, Mwanda WO. The effect of Kenya’s free maternal health care policy on the utilization of health facility delivery services and maternal and neonatal mortality in public health facilities. </w:t>
      </w:r>
      <w:r w:rsidRPr="00355CF8">
        <w:rPr>
          <w:rFonts w:ascii="Calibri" w:hAnsi="Calibri" w:cs="Calibri"/>
          <w:i/>
          <w:iCs/>
          <w:noProof/>
          <w:sz w:val="18"/>
          <w:szCs w:val="18"/>
        </w:rPr>
        <w:t>BMC Pregnancy Childbirth</w:t>
      </w:r>
      <w:r w:rsidRPr="00355CF8">
        <w:rPr>
          <w:rFonts w:ascii="Calibri" w:hAnsi="Calibri" w:cs="Calibri"/>
          <w:noProof/>
          <w:sz w:val="18"/>
          <w:szCs w:val="18"/>
        </w:rPr>
        <w:t>. 2018;18(1):1-11. doi:10.1186/S12884-018-1708-2/TABLES/6</w:t>
      </w:r>
    </w:p>
  </w:footnote>
  <w:footnote w:id="38">
    <w:p w14:paraId="29446D4C" w14:textId="2D9288BD" w:rsidR="00682502" w:rsidRDefault="00682502">
      <w:pPr>
        <w:pStyle w:val="FootnoteText"/>
      </w:pPr>
      <w:r w:rsidRPr="00682502">
        <w:rPr>
          <w:rStyle w:val="FootnoteReference"/>
        </w:rPr>
        <w:footnoteRef/>
      </w:r>
      <w:r>
        <w:t xml:space="preserve"> ibid</w:t>
      </w:r>
    </w:p>
  </w:footnote>
  <w:footnote w:id="39">
    <w:p w14:paraId="02CFE9AA" w14:textId="127CB029"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Lusambiliid AM, Naanyu V, Wade TJ, et al. Deliver on Your Own: Disrespectful Maternity Care in rural Kenya. Published online 2020. doi:10.1371/journal.pone.0214836</w:t>
      </w:r>
    </w:p>
  </w:footnote>
  <w:footnote w:id="40">
    <w:p w14:paraId="2055251D" w14:textId="02C1180D" w:rsidR="00682502" w:rsidRDefault="00682502">
      <w:pPr>
        <w:pStyle w:val="FootnoteText"/>
      </w:pPr>
      <w:r w:rsidRPr="00682502">
        <w:rPr>
          <w:rStyle w:val="FootnoteReference"/>
        </w:rPr>
        <w:footnoteRef/>
      </w:r>
      <w:r>
        <w:t xml:space="preserve"> ibid</w:t>
      </w:r>
    </w:p>
  </w:footnote>
  <w:footnote w:id="41">
    <w:p w14:paraId="71B0DD12" w14:textId="290BC46F" w:rsidR="00682502" w:rsidRPr="000F30D6" w:rsidRDefault="00682502">
      <w:pPr>
        <w:pStyle w:val="FootnoteText"/>
        <w:rPr>
          <w:sz w:val="18"/>
          <w:szCs w:val="18"/>
        </w:rPr>
      </w:pPr>
      <w:r w:rsidRPr="00682502">
        <w:rPr>
          <w:rStyle w:val="FootnoteReference"/>
        </w:rPr>
        <w:footnoteRef/>
      </w:r>
      <w:r w:rsidRPr="000F30D6">
        <w:rPr>
          <w:sz w:val="18"/>
          <w:szCs w:val="18"/>
        </w:rPr>
        <w:t xml:space="preserve"> </w:t>
      </w:r>
      <w:r w:rsidRPr="000F30D6">
        <w:rPr>
          <w:rFonts w:ascii="Calibri" w:hAnsi="Calibri" w:cs="Calibri"/>
          <w:noProof/>
          <w:sz w:val="18"/>
          <w:szCs w:val="18"/>
        </w:rPr>
        <w:t xml:space="preserve">Afulani PA, Kelly AM, Buback L, Asunka J, Kirumbi L, Lyndon A. Providers’ perceptions of disrespect and abuse during childbirth: a mixed-methods study in Kenya. </w:t>
      </w:r>
      <w:r w:rsidRPr="000F30D6">
        <w:rPr>
          <w:rFonts w:ascii="Calibri" w:hAnsi="Calibri" w:cs="Calibri"/>
          <w:i/>
          <w:iCs/>
          <w:noProof/>
          <w:sz w:val="18"/>
          <w:szCs w:val="18"/>
        </w:rPr>
        <w:t>Health Policy Plan</w:t>
      </w:r>
      <w:r w:rsidRPr="000F30D6">
        <w:rPr>
          <w:rFonts w:ascii="Calibri" w:hAnsi="Calibri" w:cs="Calibri"/>
          <w:noProof/>
          <w:sz w:val="18"/>
          <w:szCs w:val="18"/>
        </w:rPr>
        <w:t>. 2020;35(5):577-586. doi:10.1093/HEAPOL/CZAA009</w:t>
      </w:r>
    </w:p>
  </w:footnote>
  <w:footnote w:id="42">
    <w:p w14:paraId="34EF3DD2" w14:textId="3347F75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World Bank. World Bank Indicators. Published online 2022. https://databank.worldbank.org/home.aspx</w:t>
      </w:r>
    </w:p>
  </w:footnote>
  <w:footnote w:id="43">
    <w:p w14:paraId="77BF1D60" w14:textId="27A26E5B"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44">
    <w:p w14:paraId="7A76BB72" w14:textId="6BFE4DFA" w:rsidR="00682502" w:rsidRPr="000F30D6" w:rsidRDefault="00682502" w:rsidP="000F30D6">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w:t>
      </w:r>
      <w:r>
        <w:rPr>
          <w:rFonts w:ascii="Calibri" w:hAnsi="Calibri" w:cs="Calibri"/>
          <w:noProof/>
          <w:sz w:val="18"/>
          <w:szCs w:val="18"/>
        </w:rPr>
        <w:t xml:space="preserve"> </w:t>
      </w:r>
      <w:r w:rsidRPr="00355CF8">
        <w:rPr>
          <w:rFonts w:ascii="Calibri" w:hAnsi="Calibri" w:cs="Calibri"/>
          <w:noProof/>
          <w:sz w:val="18"/>
          <w:szCs w:val="18"/>
        </w:rPr>
        <w:t>Available from https://vizhub.healthdata.org/gbd-compare/ (Accessed Feb 28, 2022).</w:t>
      </w:r>
    </w:p>
  </w:footnote>
  <w:footnote w:id="45">
    <w:p w14:paraId="7684E871" w14:textId="2ADEBB8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Owolabi O, Riley T, Juma K, et al. Incidence of maternal near-miss in Kenya in 2018: findings from a nationally representative cross-sectional study in 54 referral hospitals. </w:t>
      </w:r>
      <w:r w:rsidRPr="00355CF8">
        <w:rPr>
          <w:rFonts w:ascii="Calibri" w:hAnsi="Calibri" w:cs="Calibri"/>
          <w:i/>
          <w:iCs/>
          <w:noProof/>
          <w:sz w:val="18"/>
          <w:szCs w:val="18"/>
        </w:rPr>
        <w:t>Sci Reports 2020 101</w:t>
      </w:r>
      <w:r w:rsidRPr="00355CF8">
        <w:rPr>
          <w:rFonts w:ascii="Calibri" w:hAnsi="Calibri" w:cs="Calibri"/>
          <w:noProof/>
          <w:sz w:val="18"/>
          <w:szCs w:val="18"/>
        </w:rPr>
        <w:t>. 2020;10(1):1-10. doi:10.1038/s41598-020-72144-x</w:t>
      </w:r>
    </w:p>
  </w:footnote>
  <w:footnote w:id="46">
    <w:p w14:paraId="7A96E3BD" w14:textId="2BDDC58A" w:rsidR="00682502" w:rsidRDefault="00682502">
      <w:pPr>
        <w:pStyle w:val="FootnoteText"/>
      </w:pPr>
      <w:r w:rsidRPr="00682502">
        <w:rPr>
          <w:rStyle w:val="FootnoteReference"/>
        </w:rPr>
        <w:footnoteRef/>
      </w:r>
      <w:r>
        <w:t xml:space="preserve"> ibid</w:t>
      </w:r>
    </w:p>
  </w:footnote>
  <w:footnote w:id="47">
    <w:p w14:paraId="167F3FB1" w14:textId="16E1B1F0" w:rsidR="00682502" w:rsidRDefault="00682502">
      <w:pPr>
        <w:pStyle w:val="FootnoteText"/>
      </w:pPr>
      <w:r w:rsidRPr="00682502">
        <w:rPr>
          <w:rStyle w:val="FootnoteReference"/>
        </w:rPr>
        <w:footnoteRef/>
      </w:r>
      <w:r>
        <w:t xml:space="preserve"> ibid</w:t>
      </w:r>
    </w:p>
  </w:footnote>
  <w:footnote w:id="48">
    <w:p w14:paraId="5D668A1B" w14:textId="6FF68F75" w:rsidR="00682502" w:rsidRDefault="00682502">
      <w:pPr>
        <w:pStyle w:val="FootnoteText"/>
      </w:pPr>
      <w:r w:rsidRPr="00682502">
        <w:rPr>
          <w:rStyle w:val="FootnoteReference"/>
        </w:rPr>
        <w:footnoteRef/>
      </w:r>
      <w:r>
        <w:t xml:space="preserve"> ibid</w:t>
      </w:r>
    </w:p>
  </w:footnote>
  <w:footnote w:id="49">
    <w:p w14:paraId="19DE7706" w14:textId="063B5967" w:rsidR="00682502" w:rsidRDefault="00682502">
      <w:pPr>
        <w:pStyle w:val="FootnoteText"/>
      </w:pPr>
      <w:r w:rsidRPr="00682502">
        <w:rPr>
          <w:rStyle w:val="FootnoteReference"/>
        </w:rPr>
        <w:footnoteRef/>
      </w:r>
      <w:r>
        <w:t xml:space="preserve"> ibid</w:t>
      </w:r>
    </w:p>
  </w:footnote>
  <w:footnote w:id="50">
    <w:p w14:paraId="3FEF04C6" w14:textId="63F74B7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Ndwiga C, Odwe G, Pooja S, Ogutu O, Osoti A, Warren CE. Clinical presentation and outcomes of pre-eclampsia and eclampsia at a national hospital, Kenya: A retrospective cohort study. </w:t>
      </w:r>
      <w:r w:rsidRPr="00355CF8">
        <w:rPr>
          <w:rFonts w:ascii="Calibri" w:hAnsi="Calibri" w:cs="Calibri"/>
          <w:i/>
          <w:iCs/>
          <w:noProof/>
          <w:sz w:val="18"/>
          <w:szCs w:val="18"/>
        </w:rPr>
        <w:t>PLoS One</w:t>
      </w:r>
      <w:r w:rsidRPr="00355CF8">
        <w:rPr>
          <w:rFonts w:ascii="Calibri" w:hAnsi="Calibri" w:cs="Calibri"/>
          <w:noProof/>
          <w:sz w:val="18"/>
          <w:szCs w:val="18"/>
        </w:rPr>
        <w:t>. 2020;15(6). doi:10.1371/JOURNAL.PONE.0233323</w:t>
      </w:r>
    </w:p>
  </w:footnote>
  <w:footnote w:id="51">
    <w:p w14:paraId="47653314" w14:textId="5020E30C"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Owolabi O, Riley T, Juma K, et al. Incidence of maternal near-miss in Kenya in 2018: findings from a nationally representative cross-sectional study in 54 referral hospitals. </w:t>
      </w:r>
      <w:r w:rsidRPr="00355CF8">
        <w:rPr>
          <w:rFonts w:ascii="Calibri" w:hAnsi="Calibri" w:cs="Calibri"/>
          <w:i/>
          <w:iCs/>
          <w:noProof/>
          <w:sz w:val="18"/>
          <w:szCs w:val="18"/>
        </w:rPr>
        <w:t>Sci Reports 2020 101</w:t>
      </w:r>
      <w:r w:rsidRPr="00355CF8">
        <w:rPr>
          <w:rFonts w:ascii="Calibri" w:hAnsi="Calibri" w:cs="Calibri"/>
          <w:noProof/>
          <w:sz w:val="18"/>
          <w:szCs w:val="18"/>
        </w:rPr>
        <w:t>. 2020;10(1):1-10. doi:10.1038/s41598-020-72144-x</w:t>
      </w:r>
    </w:p>
  </w:footnote>
  <w:footnote w:id="52">
    <w:p w14:paraId="694FD86C" w14:textId="3A66BAA1" w:rsidR="00682502" w:rsidRPr="00C42B55" w:rsidRDefault="00682502" w:rsidP="00C42B55">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WHO Statement on Caesarean Section Rates</w:t>
      </w:r>
      <w:r w:rsidRPr="00355CF8">
        <w:rPr>
          <w:rFonts w:ascii="Calibri" w:hAnsi="Calibri" w:cs="Calibri"/>
          <w:noProof/>
          <w:sz w:val="18"/>
          <w:szCs w:val="18"/>
        </w:rPr>
        <w:t>.; 2015.</w:t>
      </w:r>
    </w:p>
  </w:footnote>
  <w:footnote w:id="53">
    <w:p w14:paraId="0674C0E8" w14:textId="2D65EDF6" w:rsidR="00682502" w:rsidRDefault="00682502">
      <w:pPr>
        <w:pStyle w:val="FootnoteText"/>
      </w:pPr>
      <w:r w:rsidRPr="00682502">
        <w:rPr>
          <w:rStyle w:val="FootnoteReference"/>
        </w:rPr>
        <w:footnoteRef/>
      </w:r>
      <w:r>
        <w:t xml:space="preserve"> ibid</w:t>
      </w:r>
    </w:p>
  </w:footnote>
  <w:footnote w:id="54">
    <w:p w14:paraId="699906F9" w14:textId="4D4DC7DA" w:rsidR="00682502" w:rsidRDefault="00682502">
      <w:pPr>
        <w:pStyle w:val="FootnoteText"/>
      </w:pPr>
      <w:r w:rsidRPr="00682502">
        <w:rPr>
          <w:rStyle w:val="FootnoteReference"/>
        </w:rPr>
        <w:footnoteRef/>
      </w:r>
      <w:r>
        <w:t xml:space="preserve"> ibid</w:t>
      </w:r>
    </w:p>
  </w:footnote>
  <w:footnote w:id="55">
    <w:p w14:paraId="54712E02" w14:textId="128B4BFC"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56">
    <w:p w14:paraId="552B9174" w14:textId="4CE7341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Obstetric fistula | United Nations Population Fund. Accessed March 28, 2022. https://www.unfpa.org/obstetric-fistula</w:t>
      </w:r>
    </w:p>
  </w:footnote>
  <w:footnote w:id="57">
    <w:p w14:paraId="302CD353" w14:textId="64635B2D" w:rsidR="00682502" w:rsidRDefault="00682502">
      <w:pPr>
        <w:pStyle w:val="FootnoteText"/>
      </w:pPr>
      <w:r w:rsidRPr="00682502">
        <w:rPr>
          <w:rStyle w:val="FootnoteReference"/>
        </w:rPr>
        <w:footnoteRef/>
      </w:r>
      <w:r>
        <w:t xml:space="preserve"> ibid</w:t>
      </w:r>
    </w:p>
  </w:footnote>
  <w:footnote w:id="58">
    <w:p w14:paraId="6B6F488C" w14:textId="5B5524B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 </w:t>
      </w:r>
    </w:p>
  </w:footnote>
  <w:footnote w:id="59">
    <w:p w14:paraId="0A5C6BDB" w14:textId="5017C69D" w:rsidR="00682502" w:rsidRDefault="00682502">
      <w:pPr>
        <w:pStyle w:val="FootnoteText"/>
      </w:pPr>
      <w:r w:rsidRPr="00682502">
        <w:rPr>
          <w:rStyle w:val="FootnoteReference"/>
        </w:rPr>
        <w:footnoteRef/>
      </w:r>
      <w:r>
        <w:t xml:space="preserve"> ibid</w:t>
      </w:r>
    </w:p>
  </w:footnote>
  <w:footnote w:id="60">
    <w:p w14:paraId="05A92E21" w14:textId="3F4D630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Gregory EC, Drake P, Martin JA. </w:t>
      </w:r>
      <w:r w:rsidRPr="00355CF8">
        <w:rPr>
          <w:rFonts w:ascii="Calibri" w:hAnsi="Calibri" w:cs="Calibri"/>
          <w:i/>
          <w:iCs/>
          <w:noProof/>
          <w:sz w:val="18"/>
          <w:szCs w:val="18"/>
        </w:rPr>
        <w:t>Lack of Change in Perinatal Mortality in the United States, 2014-2016</w:t>
      </w:r>
      <w:r w:rsidRPr="00355CF8">
        <w:rPr>
          <w:rFonts w:ascii="Calibri" w:hAnsi="Calibri" w:cs="Calibri"/>
          <w:noProof/>
          <w:sz w:val="18"/>
          <w:szCs w:val="18"/>
        </w:rPr>
        <w:t>.; 2018. Accessed March 20, 2022. https://www.cdc.gov/nchs/products/databriefs/db316.htm</w:t>
      </w:r>
    </w:p>
  </w:footnote>
  <w:footnote w:id="61">
    <w:p w14:paraId="25D47825" w14:textId="1F3393CE" w:rsidR="00682502" w:rsidRDefault="00682502">
      <w:pPr>
        <w:pStyle w:val="FootnoteText"/>
      </w:pPr>
      <w:r w:rsidRPr="00682502">
        <w:rPr>
          <w:rStyle w:val="FootnoteReference"/>
        </w:rPr>
        <w:footnoteRef/>
      </w:r>
      <w:r>
        <w:t xml:space="preserve"> ibid</w:t>
      </w:r>
    </w:p>
  </w:footnote>
  <w:footnote w:id="62">
    <w:p w14:paraId="313F6801" w14:textId="19765BB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63">
    <w:p w14:paraId="24CB10D1" w14:textId="5D9D5765" w:rsidR="00682502" w:rsidRDefault="00682502">
      <w:pPr>
        <w:pStyle w:val="FootnoteText"/>
      </w:pPr>
      <w:r w:rsidRPr="00682502">
        <w:rPr>
          <w:rStyle w:val="FootnoteReference"/>
        </w:rPr>
        <w:footnoteRef/>
      </w:r>
      <w:r>
        <w:t xml:space="preserve"> ibid</w:t>
      </w:r>
    </w:p>
  </w:footnote>
  <w:footnote w:id="64">
    <w:p w14:paraId="31AE2918" w14:textId="1D3FD1DB" w:rsidR="00682502" w:rsidRDefault="00682502">
      <w:pPr>
        <w:pStyle w:val="FootnoteText"/>
      </w:pPr>
      <w:r w:rsidRPr="00682502">
        <w:rPr>
          <w:rStyle w:val="FootnoteReference"/>
        </w:rPr>
        <w:footnoteRef/>
      </w:r>
      <w:r>
        <w:t xml:space="preserve"> ibid</w:t>
      </w:r>
    </w:p>
  </w:footnote>
  <w:footnote w:id="65">
    <w:p w14:paraId="5ED3C100" w14:textId="1BB6F0B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The Global Health Observatory- Stillbirth Rate (per 1000 Total Births)</w:t>
      </w:r>
      <w:r w:rsidRPr="00355CF8">
        <w:rPr>
          <w:rFonts w:ascii="Calibri" w:hAnsi="Calibri" w:cs="Calibri"/>
          <w:noProof/>
          <w:sz w:val="18"/>
          <w:szCs w:val="18"/>
        </w:rPr>
        <w:t>.; 2020. Accessed March 20, 2022. https://www.who.int/data/gho/data/indicators/indicator-details/GHO/stillbirth-rate-(per-1000-total-births)</w:t>
      </w:r>
    </w:p>
  </w:footnote>
  <w:footnote w:id="66">
    <w:p w14:paraId="50988B82" w14:textId="1631BA7B"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Niru J. </w:t>
      </w:r>
      <w:r w:rsidRPr="00355CF8">
        <w:rPr>
          <w:rFonts w:ascii="Calibri" w:hAnsi="Calibri" w:cs="Calibri"/>
          <w:i/>
          <w:iCs/>
          <w:noProof/>
          <w:sz w:val="18"/>
          <w:szCs w:val="18"/>
        </w:rPr>
        <w:t>Knowledge Practice and Coverage Survey Report. Kitutu Chache South Subcounty</w:t>
      </w:r>
      <w:r w:rsidRPr="00355CF8">
        <w:rPr>
          <w:rFonts w:ascii="Calibri" w:hAnsi="Calibri" w:cs="Calibri"/>
          <w:noProof/>
          <w:sz w:val="18"/>
          <w:szCs w:val="18"/>
        </w:rPr>
        <w:t>.; 2018.</w:t>
      </w:r>
    </w:p>
  </w:footnote>
  <w:footnote w:id="67">
    <w:p w14:paraId="0099FA3D" w14:textId="5FC2F3C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68">
    <w:p w14:paraId="62DBB57E" w14:textId="145B3B52" w:rsidR="00682502" w:rsidRDefault="00682502">
      <w:pPr>
        <w:pStyle w:val="FootnoteText"/>
      </w:pPr>
      <w:r w:rsidRPr="00682502">
        <w:rPr>
          <w:rStyle w:val="FootnoteReference"/>
        </w:rPr>
        <w:footnoteRef/>
      </w:r>
      <w:r>
        <w:t xml:space="preserve"> ibid</w:t>
      </w:r>
    </w:p>
  </w:footnote>
  <w:footnote w:id="69">
    <w:p w14:paraId="04117C92" w14:textId="34287FFC" w:rsidR="00682502" w:rsidRDefault="00682502">
      <w:pPr>
        <w:pStyle w:val="FootnoteText"/>
      </w:pPr>
      <w:r w:rsidRPr="00682502">
        <w:rPr>
          <w:rStyle w:val="FootnoteReference"/>
        </w:rPr>
        <w:footnoteRef/>
      </w:r>
      <w:r>
        <w:t xml:space="preserve"> ibid</w:t>
      </w:r>
    </w:p>
  </w:footnote>
  <w:footnote w:id="70">
    <w:p w14:paraId="17590A4C" w14:textId="4B5F7B23" w:rsidR="00682502" w:rsidRDefault="00682502">
      <w:pPr>
        <w:pStyle w:val="FootnoteText"/>
      </w:pPr>
      <w:r w:rsidRPr="00682502">
        <w:rPr>
          <w:rStyle w:val="FootnoteReference"/>
        </w:rPr>
        <w:footnoteRef/>
      </w:r>
      <w:r>
        <w:t xml:space="preserve"> ibid</w:t>
      </w:r>
    </w:p>
  </w:footnote>
  <w:footnote w:id="71">
    <w:p w14:paraId="124A19E5" w14:textId="0B169AD9" w:rsidR="00682502" w:rsidRDefault="00682502">
      <w:pPr>
        <w:pStyle w:val="FootnoteText"/>
      </w:pPr>
      <w:r w:rsidRPr="00682502">
        <w:rPr>
          <w:rStyle w:val="FootnoteReference"/>
        </w:rPr>
        <w:footnoteRef/>
      </w:r>
      <w:r>
        <w:t xml:space="preserve"> ibid</w:t>
      </w:r>
    </w:p>
  </w:footnote>
  <w:footnote w:id="72">
    <w:p w14:paraId="7DBC6E0C" w14:textId="7D16E35B"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73">
    <w:p w14:paraId="5FE1A0F7" w14:textId="2859FCDD" w:rsidR="00682502" w:rsidRDefault="00682502">
      <w:pPr>
        <w:pStyle w:val="FootnoteText"/>
      </w:pPr>
      <w:r w:rsidRPr="00682502">
        <w:rPr>
          <w:rStyle w:val="FootnoteReference"/>
        </w:rPr>
        <w:footnoteRef/>
      </w:r>
      <w:r>
        <w:t xml:space="preserve"> ibid</w:t>
      </w:r>
    </w:p>
  </w:footnote>
  <w:footnote w:id="74">
    <w:p w14:paraId="6B53BED1" w14:textId="2E94D657" w:rsidR="00682502" w:rsidRDefault="00682502">
      <w:pPr>
        <w:pStyle w:val="FootnoteText"/>
      </w:pPr>
      <w:r w:rsidRPr="00682502">
        <w:rPr>
          <w:rStyle w:val="FootnoteReference"/>
        </w:rPr>
        <w:footnoteRef/>
      </w:r>
      <w:r>
        <w:t xml:space="preserve"> ibid</w:t>
      </w:r>
    </w:p>
  </w:footnote>
  <w:footnote w:id="75">
    <w:p w14:paraId="678D810E" w14:textId="23B34AFC" w:rsidR="00682502" w:rsidRDefault="00682502">
      <w:pPr>
        <w:pStyle w:val="FootnoteText"/>
      </w:pPr>
      <w:r w:rsidRPr="00682502">
        <w:rPr>
          <w:rStyle w:val="FootnoteReference"/>
        </w:rPr>
        <w:footnoteRef/>
      </w:r>
      <w:r>
        <w:t xml:space="preserve"> ibid</w:t>
      </w:r>
    </w:p>
  </w:footnote>
  <w:footnote w:id="76">
    <w:p w14:paraId="180EEEDA" w14:textId="3EECBDA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 Available from https://vizhub.healthdata.org/gbd-compare/ (Accessed Feb 28, 2022).</w:t>
      </w:r>
    </w:p>
  </w:footnote>
  <w:footnote w:id="77">
    <w:p w14:paraId="5CF6124B" w14:textId="4CBE290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78">
    <w:p w14:paraId="3D6ECE4C" w14:textId="77DEFEC1" w:rsidR="00682502" w:rsidRDefault="00682502">
      <w:pPr>
        <w:pStyle w:val="FootnoteText"/>
      </w:pPr>
      <w:r w:rsidRPr="00682502">
        <w:rPr>
          <w:rStyle w:val="FootnoteReference"/>
        </w:rPr>
        <w:footnoteRef/>
      </w:r>
      <w:r>
        <w:t xml:space="preserve"> ibid</w:t>
      </w:r>
    </w:p>
  </w:footnote>
  <w:footnote w:id="79">
    <w:p w14:paraId="71A9D9C2" w14:textId="653902DC" w:rsidR="00682502" w:rsidRDefault="00682502">
      <w:pPr>
        <w:pStyle w:val="FootnoteText"/>
      </w:pPr>
      <w:r w:rsidRPr="00682502">
        <w:rPr>
          <w:rStyle w:val="FootnoteReference"/>
        </w:rPr>
        <w:footnoteRef/>
      </w:r>
      <w:r>
        <w:t xml:space="preserve"> ibid</w:t>
      </w:r>
    </w:p>
  </w:footnote>
  <w:footnote w:id="80">
    <w:p w14:paraId="647E2BA0" w14:textId="766978E7" w:rsidR="00682502" w:rsidRDefault="00682502">
      <w:pPr>
        <w:pStyle w:val="FootnoteText"/>
      </w:pPr>
      <w:r w:rsidRPr="00682502">
        <w:rPr>
          <w:rStyle w:val="FootnoteReference"/>
        </w:rPr>
        <w:footnoteRef/>
      </w:r>
      <w:r>
        <w:t xml:space="preserve"> ibid</w:t>
      </w:r>
    </w:p>
  </w:footnote>
  <w:footnote w:id="81">
    <w:p w14:paraId="6C94E548" w14:textId="22546016"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w:t>
      </w:r>
      <w:r>
        <w:rPr>
          <w:rFonts w:ascii="Calibri" w:hAnsi="Calibri" w:cs="Calibri"/>
          <w:noProof/>
          <w:sz w:val="18"/>
          <w:szCs w:val="18"/>
        </w:rPr>
        <w:t xml:space="preserve"> Op. cit.</w:t>
      </w:r>
    </w:p>
  </w:footnote>
  <w:footnote w:id="82">
    <w:p w14:paraId="332EFEFE" w14:textId="31BA55E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Kenya’s Abortion Provisions - Center for Reproductive Rights. Accessed April 6, 2022. https://reproductiverights.org/maps/provision/kenyas-abortion-provisions/</w:t>
      </w:r>
    </w:p>
  </w:footnote>
  <w:footnote w:id="83">
    <w:p w14:paraId="781AF9C1" w14:textId="771D644C"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Maternal mortality in 2005 : estimates developed by WHO, UNICEF, UNFPA, and The World Bank. Accessed April 6, 2022. https://apps.who.int/iris/handle/10665/43807</w:t>
      </w:r>
    </w:p>
  </w:footnote>
  <w:footnote w:id="84">
    <w:p w14:paraId="08A8B9ED" w14:textId="77777777" w:rsidR="00682502" w:rsidRDefault="00682502" w:rsidP="00C42B55">
      <w:pPr>
        <w:widowControl w:val="0"/>
        <w:autoSpaceDE w:val="0"/>
        <w:autoSpaceDN w:val="0"/>
        <w:adjustRightInd w:val="0"/>
        <w:ind w:left="640" w:hanging="640"/>
        <w:rPr>
          <w:rFonts w:ascii="Calibri" w:hAnsi="Calibri" w:cs="Calibri"/>
          <w:i/>
          <w:iCs/>
          <w:noProof/>
          <w:sz w:val="18"/>
          <w:szCs w:val="18"/>
        </w:rPr>
      </w:pPr>
      <w:r w:rsidRPr="00682502">
        <w:rPr>
          <w:rStyle w:val="FootnoteReference"/>
        </w:rPr>
        <w:footnoteRef/>
      </w:r>
      <w:r>
        <w:t xml:space="preserve"> </w:t>
      </w:r>
      <w:r w:rsidRPr="00355CF8">
        <w:rPr>
          <w:rFonts w:ascii="Calibri" w:hAnsi="Calibri" w:cs="Calibri"/>
          <w:noProof/>
          <w:sz w:val="18"/>
          <w:szCs w:val="18"/>
        </w:rPr>
        <w:t xml:space="preserve">Center for Reproductive Rights. </w:t>
      </w:r>
      <w:r w:rsidRPr="00355CF8">
        <w:rPr>
          <w:rFonts w:ascii="Calibri" w:hAnsi="Calibri" w:cs="Calibri"/>
          <w:i/>
          <w:iCs/>
          <w:noProof/>
          <w:sz w:val="18"/>
          <w:szCs w:val="18"/>
        </w:rPr>
        <w:t>A Decade of Existence: Revealing Progress, Reversals, and Betrayal of a National</w:t>
      </w:r>
    </w:p>
    <w:p w14:paraId="6639FCF7" w14:textId="1E6B07B0" w:rsidR="00682502" w:rsidRPr="00C42B55" w:rsidRDefault="00682502" w:rsidP="00C42B55">
      <w:pPr>
        <w:widowControl w:val="0"/>
        <w:autoSpaceDE w:val="0"/>
        <w:autoSpaceDN w:val="0"/>
        <w:adjustRightInd w:val="0"/>
        <w:ind w:left="640" w:hanging="640"/>
        <w:rPr>
          <w:rFonts w:ascii="Calibri" w:hAnsi="Calibri" w:cs="Calibri"/>
          <w:noProof/>
          <w:sz w:val="18"/>
          <w:szCs w:val="18"/>
        </w:rPr>
      </w:pPr>
      <w:r w:rsidRPr="00355CF8">
        <w:rPr>
          <w:rFonts w:ascii="Calibri" w:hAnsi="Calibri" w:cs="Calibri"/>
          <w:i/>
          <w:iCs/>
          <w:noProof/>
          <w:sz w:val="18"/>
          <w:szCs w:val="18"/>
        </w:rPr>
        <w:t>Compromise. Tracking Implementation of Article 26(4) of the Constitution</w:t>
      </w:r>
      <w:r w:rsidRPr="00355CF8">
        <w:rPr>
          <w:rFonts w:ascii="Calibri" w:hAnsi="Calibri" w:cs="Calibri"/>
          <w:noProof/>
          <w:sz w:val="18"/>
          <w:szCs w:val="18"/>
        </w:rPr>
        <w:t>.; 2020.</w:t>
      </w:r>
    </w:p>
  </w:footnote>
  <w:footnote w:id="85">
    <w:p w14:paraId="0718BE00" w14:textId="12F364B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Singh S, Bankole A, Moore A, et al. </w:t>
      </w:r>
      <w:r w:rsidRPr="00355CF8">
        <w:rPr>
          <w:rFonts w:ascii="Calibri" w:hAnsi="Calibri" w:cs="Calibri"/>
          <w:i/>
          <w:iCs/>
          <w:noProof/>
          <w:sz w:val="18"/>
          <w:szCs w:val="18"/>
        </w:rPr>
        <w:t>Incidence and Complications of Unsafe Abortion in Kenya | Guttmacher Institute</w:t>
      </w:r>
      <w:r w:rsidRPr="00355CF8">
        <w:rPr>
          <w:rFonts w:ascii="Calibri" w:hAnsi="Calibri" w:cs="Calibri"/>
          <w:noProof/>
          <w:sz w:val="18"/>
          <w:szCs w:val="18"/>
        </w:rPr>
        <w:t>.; 2013. Accessed April 6, 2022. https://www.guttmacher.org/report/incidence-and-complications-unsafe-abortion-kenya</w:t>
      </w:r>
    </w:p>
  </w:footnote>
  <w:footnote w:id="86">
    <w:p w14:paraId="6625C53A" w14:textId="30454FA5" w:rsidR="00682502" w:rsidRDefault="00682502">
      <w:pPr>
        <w:pStyle w:val="FootnoteText"/>
      </w:pPr>
      <w:r w:rsidRPr="00682502">
        <w:rPr>
          <w:rStyle w:val="FootnoteReference"/>
        </w:rPr>
        <w:footnoteRef/>
      </w:r>
      <w:r>
        <w:t xml:space="preserve"> ibid</w:t>
      </w:r>
    </w:p>
  </w:footnote>
  <w:footnote w:id="87">
    <w:p w14:paraId="0D6A0374" w14:textId="446CDA0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88">
    <w:p w14:paraId="4AC10BFA" w14:textId="5919D8C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The World Bank. </w:t>
      </w:r>
      <w:r w:rsidRPr="00355CF8">
        <w:rPr>
          <w:rFonts w:ascii="Calibri" w:hAnsi="Calibri" w:cs="Calibri"/>
          <w:i/>
          <w:iCs/>
          <w:noProof/>
          <w:sz w:val="18"/>
          <w:szCs w:val="18"/>
        </w:rPr>
        <w:t>Mortality Rate, under-5 (per 1,000 Live Births) - Kenya</w:t>
      </w:r>
      <w:r w:rsidRPr="00355CF8">
        <w:rPr>
          <w:rFonts w:ascii="Calibri" w:hAnsi="Calibri" w:cs="Calibri"/>
          <w:noProof/>
          <w:sz w:val="18"/>
          <w:szCs w:val="18"/>
        </w:rPr>
        <w:t>.; 2020. Accessed March 8, 2022. https://data-worldbank-org.libproxy.lib.unc.edu/indicator/SH.DYN.MORT?locations=KE</w:t>
      </w:r>
    </w:p>
  </w:footnote>
  <w:footnote w:id="89">
    <w:p w14:paraId="11198305" w14:textId="1AE3AAC4" w:rsidR="00682502" w:rsidRDefault="00682502">
      <w:pPr>
        <w:pStyle w:val="FootnoteText"/>
      </w:pPr>
      <w:r w:rsidRPr="00682502">
        <w:rPr>
          <w:rStyle w:val="FootnoteReference"/>
        </w:rPr>
        <w:footnoteRef/>
      </w:r>
      <w:r>
        <w:t xml:space="preserve"> ibid</w:t>
      </w:r>
    </w:p>
  </w:footnote>
  <w:footnote w:id="90">
    <w:p w14:paraId="4232484B" w14:textId="5F2DD8F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91">
    <w:p w14:paraId="17CDA10D" w14:textId="3E84272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Li Z, Karlsson O, Kim R, Subramanian S V. Distribution of under-5 deaths in the neonatal, postneonatal, and childhood periods: a multicountry analysis in 64 low- and middle-income countries. </w:t>
      </w:r>
      <w:r w:rsidRPr="00355CF8">
        <w:rPr>
          <w:rFonts w:ascii="Calibri" w:hAnsi="Calibri" w:cs="Calibri"/>
          <w:i/>
          <w:iCs/>
          <w:noProof/>
          <w:sz w:val="18"/>
          <w:szCs w:val="18"/>
        </w:rPr>
        <w:t>Int J Equity Health</w:t>
      </w:r>
      <w:r w:rsidRPr="00355CF8">
        <w:rPr>
          <w:rFonts w:ascii="Calibri" w:hAnsi="Calibri" w:cs="Calibri"/>
          <w:noProof/>
          <w:sz w:val="18"/>
          <w:szCs w:val="18"/>
        </w:rPr>
        <w:t>. 2021;20(1):1-11. doi:10.1186/S12939-021-01449-8/FIGURES/4</w:t>
      </w:r>
    </w:p>
  </w:footnote>
  <w:footnote w:id="92">
    <w:p w14:paraId="61C0DA03" w14:textId="1663CA6C"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93">
    <w:p w14:paraId="33C4F644" w14:textId="1C0E1759" w:rsidR="00682502" w:rsidRDefault="00682502">
      <w:pPr>
        <w:pStyle w:val="FootnoteText"/>
      </w:pPr>
      <w:r w:rsidRPr="00682502">
        <w:rPr>
          <w:rStyle w:val="FootnoteReference"/>
        </w:rPr>
        <w:footnoteRef/>
      </w:r>
      <w:r>
        <w:t xml:space="preserve"> ibid</w:t>
      </w:r>
    </w:p>
  </w:footnote>
  <w:footnote w:id="94">
    <w:p w14:paraId="6A88EDC5" w14:textId="2AA54F16" w:rsidR="00682502" w:rsidRDefault="00682502">
      <w:pPr>
        <w:pStyle w:val="FootnoteText"/>
      </w:pPr>
      <w:r w:rsidRPr="00682502">
        <w:rPr>
          <w:rStyle w:val="FootnoteReference"/>
        </w:rPr>
        <w:footnoteRef/>
      </w:r>
      <w:r>
        <w:t xml:space="preserve"> ibid</w:t>
      </w:r>
    </w:p>
  </w:footnote>
  <w:footnote w:id="95">
    <w:p w14:paraId="4B982CB8" w14:textId="59E7E8C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 Available from https://vizhub.healthdata.org/gbd-compare/ (Accessed Feb 28, 2022).</w:t>
      </w:r>
    </w:p>
  </w:footnote>
  <w:footnote w:id="96">
    <w:p w14:paraId="05C0C914" w14:textId="74849181" w:rsidR="00682502" w:rsidRDefault="00682502">
      <w:pPr>
        <w:pStyle w:val="FootnoteText"/>
      </w:pPr>
      <w:r w:rsidRPr="00682502">
        <w:rPr>
          <w:rStyle w:val="FootnoteReference"/>
        </w:rPr>
        <w:footnoteRef/>
      </w:r>
      <w:r>
        <w:t xml:space="preserve"> ibid</w:t>
      </w:r>
    </w:p>
  </w:footnote>
  <w:footnote w:id="97">
    <w:p w14:paraId="4B92234E" w14:textId="07BFE6BA" w:rsidR="00682502" w:rsidRDefault="00682502">
      <w:pPr>
        <w:pStyle w:val="FootnoteText"/>
      </w:pPr>
      <w:r w:rsidRPr="00682502">
        <w:rPr>
          <w:rStyle w:val="FootnoteReference"/>
        </w:rPr>
        <w:footnoteRef/>
      </w:r>
      <w:r>
        <w:t xml:space="preserve"> ibid</w:t>
      </w:r>
    </w:p>
  </w:footnote>
  <w:footnote w:id="98">
    <w:p w14:paraId="59B60AF0" w14:textId="38813C57" w:rsidR="00682502" w:rsidRDefault="00682502">
      <w:pPr>
        <w:pStyle w:val="FootnoteText"/>
      </w:pPr>
      <w:r w:rsidRPr="00682502">
        <w:rPr>
          <w:rStyle w:val="FootnoteReference"/>
        </w:rPr>
        <w:footnoteRef/>
      </w:r>
      <w:r>
        <w:t xml:space="preserve"> ibid</w:t>
      </w:r>
    </w:p>
  </w:footnote>
  <w:footnote w:id="99">
    <w:p w14:paraId="545AACD6" w14:textId="68730A4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100">
    <w:p w14:paraId="4E4513DA" w14:textId="09955899"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w:t>
      </w:r>
      <w:r>
        <w:rPr>
          <w:rFonts w:ascii="Calibri" w:hAnsi="Calibri" w:cs="Calibri"/>
          <w:noProof/>
          <w:sz w:val="18"/>
          <w:szCs w:val="18"/>
        </w:rPr>
        <w:t xml:space="preserve"> Op. cit.</w:t>
      </w:r>
    </w:p>
  </w:footnote>
  <w:footnote w:id="101">
    <w:p w14:paraId="3065CE87" w14:textId="134174A3" w:rsidR="00682502" w:rsidRDefault="00682502">
      <w:pPr>
        <w:pStyle w:val="FootnoteText"/>
      </w:pPr>
      <w:r w:rsidRPr="00682502">
        <w:rPr>
          <w:rStyle w:val="FootnoteReference"/>
        </w:rPr>
        <w:footnoteRef/>
      </w:r>
      <w:r>
        <w:t xml:space="preserve"> ibid</w:t>
      </w:r>
    </w:p>
  </w:footnote>
  <w:footnote w:id="102">
    <w:p w14:paraId="7A040E18" w14:textId="5BDBF149"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Li Z, Karlsson O, Kim R, Subramanian S V. Distribution of under-5 deaths in the neonatal, postneonatal, and childhood periods: a multicountry analysis in 64 low- and middle-income countries. </w:t>
      </w:r>
      <w:r w:rsidRPr="00355CF8">
        <w:rPr>
          <w:rFonts w:ascii="Calibri" w:hAnsi="Calibri" w:cs="Calibri"/>
          <w:i/>
          <w:iCs/>
          <w:noProof/>
          <w:sz w:val="18"/>
          <w:szCs w:val="18"/>
        </w:rPr>
        <w:t>Int J Equity Health</w:t>
      </w:r>
      <w:r w:rsidRPr="00355CF8">
        <w:rPr>
          <w:rFonts w:ascii="Calibri" w:hAnsi="Calibri" w:cs="Calibri"/>
          <w:noProof/>
          <w:sz w:val="18"/>
          <w:szCs w:val="18"/>
        </w:rPr>
        <w:t>. 2021;20(1):1-11. doi:10.1186/S12939-021-01449-8/FIGURES/4</w:t>
      </w:r>
    </w:p>
  </w:footnote>
  <w:footnote w:id="103">
    <w:p w14:paraId="4A7214EE" w14:textId="5381119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 Available from https://vizhub.healthdata.org/gbd-compare/ (Accessed Feb 28, 2022).</w:t>
      </w:r>
    </w:p>
  </w:footnote>
  <w:footnote w:id="104">
    <w:p w14:paraId="707B6976" w14:textId="60693C2C"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Masaba BB, Mmusi-Phetoe RM. Neonatal Survival in Sub-Sahara: A Review of Kenya and South Africa. </w:t>
      </w:r>
      <w:r w:rsidRPr="00355CF8">
        <w:rPr>
          <w:rFonts w:ascii="Calibri" w:hAnsi="Calibri" w:cs="Calibri"/>
          <w:i/>
          <w:iCs/>
          <w:noProof/>
          <w:sz w:val="18"/>
          <w:szCs w:val="18"/>
        </w:rPr>
        <w:t>J Multidiscip Healthc</w:t>
      </w:r>
      <w:r w:rsidRPr="00355CF8">
        <w:rPr>
          <w:rFonts w:ascii="Calibri" w:hAnsi="Calibri" w:cs="Calibri"/>
          <w:noProof/>
          <w:sz w:val="18"/>
          <w:szCs w:val="18"/>
        </w:rPr>
        <w:t>. 2020;13:709. doi:10.2147/JMDH.S260058</w:t>
      </w:r>
    </w:p>
  </w:footnote>
  <w:footnote w:id="105">
    <w:p w14:paraId="7C8F9214" w14:textId="020607C9" w:rsidR="00682502" w:rsidRDefault="00682502">
      <w:pPr>
        <w:pStyle w:val="FootnoteText"/>
      </w:pPr>
      <w:r w:rsidRPr="00682502">
        <w:rPr>
          <w:rStyle w:val="FootnoteReference"/>
        </w:rPr>
        <w:footnoteRef/>
      </w:r>
      <w:r>
        <w:t xml:space="preserve"> ibid</w:t>
      </w:r>
    </w:p>
  </w:footnote>
  <w:footnote w:id="106">
    <w:p w14:paraId="153CBFC8" w14:textId="518602D4" w:rsidR="00682502" w:rsidRDefault="00682502">
      <w:pPr>
        <w:pStyle w:val="FootnoteText"/>
      </w:pPr>
      <w:r w:rsidRPr="00682502">
        <w:rPr>
          <w:rStyle w:val="FootnoteReference"/>
        </w:rPr>
        <w:footnoteRef/>
      </w:r>
      <w:r>
        <w:t xml:space="preserve"> ibid</w:t>
      </w:r>
    </w:p>
  </w:footnote>
  <w:footnote w:id="107">
    <w:p w14:paraId="088BA69D" w14:textId="4D847FB9" w:rsidR="00682502" w:rsidRPr="00D93962" w:rsidRDefault="00682502" w:rsidP="00D93962">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Kaguthi G, Nduba V, Borgdorff MW, Verver S. Predictors of post neonatal mortality in Western Kenya: a cohort study. </w:t>
      </w:r>
      <w:r w:rsidRPr="00355CF8">
        <w:rPr>
          <w:rFonts w:ascii="Calibri" w:hAnsi="Calibri" w:cs="Calibri"/>
          <w:i/>
          <w:iCs/>
          <w:noProof/>
          <w:sz w:val="18"/>
          <w:szCs w:val="18"/>
        </w:rPr>
        <w:t>PAMJ</w:t>
      </w:r>
      <w:r>
        <w:rPr>
          <w:rFonts w:ascii="Calibri" w:hAnsi="Calibri" w:cs="Calibri"/>
          <w:i/>
          <w:iCs/>
          <w:noProof/>
          <w:sz w:val="18"/>
          <w:szCs w:val="18"/>
        </w:rPr>
        <w:t xml:space="preserve"> </w:t>
      </w:r>
      <w:r w:rsidRPr="00355CF8">
        <w:rPr>
          <w:rFonts w:ascii="Calibri" w:hAnsi="Calibri" w:cs="Calibri"/>
          <w:i/>
          <w:iCs/>
          <w:noProof/>
          <w:sz w:val="18"/>
          <w:szCs w:val="18"/>
        </w:rPr>
        <w:t>2018; 31:114</w:t>
      </w:r>
      <w:r w:rsidRPr="00355CF8">
        <w:rPr>
          <w:rFonts w:ascii="Calibri" w:hAnsi="Calibri" w:cs="Calibri"/>
          <w:noProof/>
          <w:sz w:val="18"/>
          <w:szCs w:val="18"/>
        </w:rPr>
        <w:t>. 2018;31(114). doi:10.11604/PAMJ.2018.31.114.16725</w:t>
      </w:r>
    </w:p>
  </w:footnote>
  <w:footnote w:id="108">
    <w:p w14:paraId="07D408BE" w14:textId="579E470C" w:rsidR="00682502" w:rsidRDefault="00682502">
      <w:pPr>
        <w:pStyle w:val="FootnoteText"/>
      </w:pPr>
      <w:r w:rsidRPr="00682502">
        <w:rPr>
          <w:rStyle w:val="FootnoteReference"/>
        </w:rPr>
        <w:footnoteRef/>
      </w:r>
      <w:r>
        <w:t xml:space="preserve"> ibid</w:t>
      </w:r>
    </w:p>
  </w:footnote>
  <w:footnote w:id="109">
    <w:p w14:paraId="3BE675C0" w14:textId="408AF968" w:rsidR="00682502" w:rsidRDefault="00682502">
      <w:pPr>
        <w:pStyle w:val="FootnoteText"/>
      </w:pPr>
      <w:r w:rsidRPr="00682502">
        <w:rPr>
          <w:rStyle w:val="FootnoteReference"/>
        </w:rPr>
        <w:footnoteRef/>
      </w:r>
      <w:r>
        <w:t xml:space="preserve"> ibid</w:t>
      </w:r>
    </w:p>
  </w:footnote>
  <w:footnote w:id="110">
    <w:p w14:paraId="391F4DDE" w14:textId="1F1E8EDF" w:rsidR="00682502" w:rsidRDefault="00682502">
      <w:pPr>
        <w:pStyle w:val="FootnoteText"/>
      </w:pPr>
      <w:r w:rsidRPr="00682502">
        <w:rPr>
          <w:rStyle w:val="FootnoteReference"/>
        </w:rPr>
        <w:footnoteRef/>
      </w:r>
      <w:r>
        <w:t xml:space="preserve"> ibid</w:t>
      </w:r>
    </w:p>
  </w:footnote>
  <w:footnote w:id="111">
    <w:p w14:paraId="472FE2A7" w14:textId="58D2E86B"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 Available from https://vizhub.healthdata.org/gbd-compare/ (Accessed Feb 28, 2022).</w:t>
      </w:r>
    </w:p>
  </w:footnote>
  <w:footnote w:id="112">
    <w:p w14:paraId="4A544B4E" w14:textId="5260255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13">
    <w:p w14:paraId="6F09B4C9" w14:textId="7BA6970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Diarrhoeal Disease</w:t>
      </w:r>
      <w:r w:rsidRPr="00355CF8">
        <w:rPr>
          <w:rFonts w:ascii="Calibri" w:hAnsi="Calibri" w:cs="Calibri"/>
          <w:noProof/>
          <w:sz w:val="18"/>
          <w:szCs w:val="18"/>
        </w:rPr>
        <w:t>.; 2017. Accessed March 8, 2022. https://www.who.int/news-room/fact-sheets/detail/diarrhoeal-disease</w:t>
      </w:r>
    </w:p>
  </w:footnote>
  <w:footnote w:id="114">
    <w:p w14:paraId="1EC969F1" w14:textId="7E1D41B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Groome MJ, Parashar UD. Understanding the full clinical spectrum of childhood diarrhoea in low-income and middle-income countries. </w:t>
      </w:r>
      <w:r w:rsidRPr="00355CF8">
        <w:rPr>
          <w:rFonts w:ascii="Calibri" w:hAnsi="Calibri" w:cs="Calibri"/>
          <w:i/>
          <w:iCs/>
          <w:noProof/>
          <w:sz w:val="18"/>
          <w:szCs w:val="18"/>
        </w:rPr>
        <w:t>Lancet Glob Heal</w:t>
      </w:r>
      <w:r w:rsidRPr="00355CF8">
        <w:rPr>
          <w:rFonts w:ascii="Calibri" w:hAnsi="Calibri" w:cs="Calibri"/>
          <w:noProof/>
          <w:sz w:val="18"/>
          <w:szCs w:val="18"/>
        </w:rPr>
        <w:t>. 2019;7(5):e534-e535. doi:10.1016/S2214-109X(19)30056-7</w:t>
      </w:r>
    </w:p>
  </w:footnote>
  <w:footnote w:id="115">
    <w:p w14:paraId="1A04C43F" w14:textId="258FB60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16">
    <w:p w14:paraId="4650A2DC" w14:textId="313BE586" w:rsidR="00682502" w:rsidRDefault="00682502">
      <w:pPr>
        <w:pStyle w:val="FootnoteText"/>
      </w:pPr>
      <w:r w:rsidRPr="00682502">
        <w:rPr>
          <w:rStyle w:val="FootnoteReference"/>
        </w:rPr>
        <w:footnoteRef/>
      </w:r>
      <w:r>
        <w:rPr>
          <w:rStyle w:val="FootnoteReference"/>
        </w:rPr>
        <w:footnoteRef/>
      </w:r>
      <w:r>
        <w:t xml:space="preserve"> ibid</w:t>
      </w:r>
    </w:p>
  </w:footnote>
  <w:footnote w:id="117">
    <w:p w14:paraId="105E52B6" w14:textId="179B333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Mulatya DM, Ochieng C. Disease burden and risk factors of diarrhoea in children under five years: Evidence from Kenya’s demographic health survey 2014. </w:t>
      </w:r>
      <w:r w:rsidRPr="00355CF8">
        <w:rPr>
          <w:rFonts w:ascii="Calibri" w:hAnsi="Calibri" w:cs="Calibri"/>
          <w:i/>
          <w:iCs/>
          <w:noProof/>
          <w:sz w:val="18"/>
          <w:szCs w:val="18"/>
        </w:rPr>
        <w:t>Int J Infect Dis</w:t>
      </w:r>
      <w:r w:rsidRPr="00355CF8">
        <w:rPr>
          <w:rFonts w:ascii="Calibri" w:hAnsi="Calibri" w:cs="Calibri"/>
          <w:noProof/>
          <w:sz w:val="18"/>
          <w:szCs w:val="18"/>
        </w:rPr>
        <w:t>. 2020;93:359-366. doi:10.1016/J.IJID.2020.02.003</w:t>
      </w:r>
    </w:p>
  </w:footnote>
  <w:footnote w:id="118">
    <w:p w14:paraId="0F66F532" w14:textId="6364E299"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119">
    <w:p w14:paraId="6DA6B083" w14:textId="3E0A1746" w:rsidR="00682502" w:rsidRDefault="00682502">
      <w:pPr>
        <w:pStyle w:val="FootnoteText"/>
      </w:pPr>
      <w:r w:rsidRPr="00682502">
        <w:rPr>
          <w:rStyle w:val="FootnoteReference"/>
        </w:rPr>
        <w:footnoteRef/>
      </w:r>
      <w:r>
        <w:t xml:space="preserve"> ibid</w:t>
      </w:r>
    </w:p>
  </w:footnote>
  <w:footnote w:id="120">
    <w:p w14:paraId="3CE6E148" w14:textId="2B8BD130" w:rsidR="00682502" w:rsidRPr="00D93962" w:rsidRDefault="00682502" w:rsidP="00D93962">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WHO/UNICEF Joint Monitoring Program. Open defecation. Published 2020. Accessed March 28, 2022. https://washdata.org/monitoring/inequalities/open-defecation</w:t>
      </w:r>
    </w:p>
  </w:footnote>
  <w:footnote w:id="121">
    <w:p w14:paraId="66E0D6B0" w14:textId="5A99178B" w:rsidR="00682502" w:rsidRPr="00D93962" w:rsidRDefault="00682502">
      <w:pPr>
        <w:pStyle w:val="FootnoteText"/>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Njuguna J. Progress in sanitation among poor households in Kenya: Evidence from demographic and health surveys. </w:t>
      </w:r>
      <w:r w:rsidRPr="00355CF8">
        <w:rPr>
          <w:rFonts w:ascii="Calibri" w:hAnsi="Calibri" w:cs="Calibri"/>
          <w:i/>
          <w:iCs/>
          <w:noProof/>
          <w:sz w:val="18"/>
          <w:szCs w:val="18"/>
        </w:rPr>
        <w:t>BMC Public Health</w:t>
      </w:r>
      <w:r w:rsidRPr="00355CF8">
        <w:rPr>
          <w:rFonts w:ascii="Calibri" w:hAnsi="Calibri" w:cs="Calibri"/>
          <w:noProof/>
          <w:sz w:val="18"/>
          <w:szCs w:val="18"/>
        </w:rPr>
        <w:t>. 2019;19(1):1-8. doi:10.1186/S12889-019-6459-0/TABLES/3</w:t>
      </w:r>
    </w:p>
  </w:footnote>
  <w:footnote w:id="122">
    <w:p w14:paraId="4BF564C3" w14:textId="11695134" w:rsidR="00682502"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People Practicing Open Defecation (% of Population) - Kenya | Data</w:t>
      </w:r>
      <w:r w:rsidRPr="00355CF8">
        <w:rPr>
          <w:rFonts w:ascii="Calibri" w:hAnsi="Calibri" w:cs="Calibri"/>
          <w:noProof/>
          <w:sz w:val="18"/>
          <w:szCs w:val="18"/>
        </w:rPr>
        <w:t>.; 2020. Accessed March 20, 2022. https://data-worldbank-org.libproxy.lib.unc.edu/indicator/SH.STA.ODFC.ZS?locations=KE</w:t>
      </w:r>
    </w:p>
  </w:footnote>
  <w:footnote w:id="123">
    <w:p w14:paraId="5A0E6C2E" w14:textId="5B37D806"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Niru J. </w:t>
      </w:r>
      <w:r w:rsidRPr="00355CF8">
        <w:rPr>
          <w:rFonts w:ascii="Calibri" w:hAnsi="Calibri" w:cs="Calibri"/>
          <w:i/>
          <w:iCs/>
          <w:noProof/>
          <w:sz w:val="18"/>
          <w:szCs w:val="18"/>
        </w:rPr>
        <w:t>Knowledge Practice and Coverage Survey Report. Kitutu Chache South Subcounty</w:t>
      </w:r>
      <w:r w:rsidRPr="00355CF8">
        <w:rPr>
          <w:rFonts w:ascii="Calibri" w:hAnsi="Calibri" w:cs="Calibri"/>
          <w:noProof/>
          <w:sz w:val="18"/>
          <w:szCs w:val="18"/>
        </w:rPr>
        <w:t>.; 2018.</w:t>
      </w:r>
    </w:p>
  </w:footnote>
  <w:footnote w:id="124">
    <w:p w14:paraId="7CC2B3A1" w14:textId="39500B3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health sector working group. </w:t>
      </w:r>
      <w:r w:rsidRPr="00355CF8">
        <w:rPr>
          <w:rFonts w:ascii="Calibri" w:hAnsi="Calibri" w:cs="Calibri"/>
          <w:i/>
          <w:iCs/>
          <w:noProof/>
          <w:sz w:val="18"/>
          <w:szCs w:val="18"/>
        </w:rPr>
        <w:t>Health Sector Working Group Report. Medium Term Expenditure Fromework (MTEF) for the Period 2022/23-2024/25.</w:t>
      </w:r>
      <w:r w:rsidRPr="00355CF8">
        <w:rPr>
          <w:rFonts w:ascii="Calibri" w:hAnsi="Calibri" w:cs="Calibri"/>
          <w:noProof/>
          <w:sz w:val="18"/>
          <w:szCs w:val="18"/>
        </w:rPr>
        <w:t>; 2021.</w:t>
      </w:r>
    </w:p>
  </w:footnote>
  <w:footnote w:id="125">
    <w:p w14:paraId="09167138" w14:textId="225914FB"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Niru J. </w:t>
      </w:r>
      <w:r w:rsidRPr="00355CF8">
        <w:rPr>
          <w:rFonts w:ascii="Calibri" w:hAnsi="Calibri" w:cs="Calibri"/>
          <w:i/>
          <w:iCs/>
          <w:noProof/>
          <w:sz w:val="18"/>
          <w:szCs w:val="18"/>
        </w:rPr>
        <w:t>Knowledge Practice and Coverage Survey Report. Kitutu Chache South Subcounty</w:t>
      </w:r>
      <w:r w:rsidRPr="00355CF8">
        <w:rPr>
          <w:rFonts w:ascii="Calibri" w:hAnsi="Calibri" w:cs="Calibri"/>
          <w:noProof/>
          <w:sz w:val="18"/>
          <w:szCs w:val="18"/>
        </w:rPr>
        <w:t>.; 2018.</w:t>
      </w:r>
    </w:p>
  </w:footnote>
  <w:footnote w:id="126">
    <w:p w14:paraId="1CEABE98" w14:textId="7D545974" w:rsidR="00682502" w:rsidRDefault="00682502">
      <w:pPr>
        <w:pStyle w:val="FootnoteText"/>
      </w:pPr>
      <w:r w:rsidRPr="00682502">
        <w:rPr>
          <w:rStyle w:val="FootnoteReference"/>
        </w:rPr>
        <w:footnoteRef/>
      </w:r>
      <w:r>
        <w:t xml:space="preserve"> ibid</w:t>
      </w:r>
    </w:p>
  </w:footnote>
  <w:footnote w:id="127">
    <w:p w14:paraId="0AAD0795" w14:textId="6E63A5C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National Bureau of Statistics. </w:t>
      </w:r>
      <w:r w:rsidRPr="00355CF8">
        <w:rPr>
          <w:rFonts w:ascii="Calibri" w:hAnsi="Calibri" w:cs="Calibri"/>
          <w:i/>
          <w:iCs/>
          <w:noProof/>
          <w:sz w:val="18"/>
          <w:szCs w:val="18"/>
        </w:rPr>
        <w:t>Kenya, Kisii County, Multiple Indicator Cluster Survey (MICS)</w:t>
      </w:r>
      <w:r w:rsidRPr="00355CF8">
        <w:rPr>
          <w:rFonts w:ascii="Calibri" w:hAnsi="Calibri" w:cs="Calibri"/>
          <w:noProof/>
          <w:sz w:val="18"/>
          <w:szCs w:val="18"/>
        </w:rPr>
        <w:t>.; 2011.</w:t>
      </w:r>
    </w:p>
  </w:footnote>
  <w:footnote w:id="128">
    <w:p w14:paraId="1B92CCD6" w14:textId="2A939A6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Njuguna J, Muruka C. Open defecation in newly created Kenyan counties: A situational analysis. </w:t>
      </w:r>
      <w:r w:rsidRPr="00355CF8">
        <w:rPr>
          <w:rFonts w:ascii="Calibri" w:hAnsi="Calibri" w:cs="Calibri"/>
          <w:i/>
          <w:iCs/>
          <w:noProof/>
          <w:sz w:val="18"/>
          <w:szCs w:val="18"/>
        </w:rPr>
        <w:t>J Health Care Poor Underserved</w:t>
      </w:r>
      <w:r w:rsidRPr="00355CF8">
        <w:rPr>
          <w:rFonts w:ascii="Calibri" w:hAnsi="Calibri" w:cs="Calibri"/>
          <w:noProof/>
          <w:sz w:val="18"/>
          <w:szCs w:val="18"/>
        </w:rPr>
        <w:t>. 2017;28:71-78.</w:t>
      </w:r>
    </w:p>
  </w:footnote>
  <w:footnote w:id="129">
    <w:p w14:paraId="21C710F9" w14:textId="24252BFB" w:rsidR="00682502" w:rsidRDefault="00682502">
      <w:pPr>
        <w:pStyle w:val="FootnoteText"/>
      </w:pPr>
      <w:r w:rsidRPr="00682502">
        <w:rPr>
          <w:rStyle w:val="FootnoteReference"/>
        </w:rPr>
        <w:footnoteRef/>
      </w:r>
      <w:r>
        <w:t xml:space="preserve"> </w:t>
      </w:r>
      <w:r>
        <w:rPr>
          <w:rFonts w:ascii="Calibri" w:hAnsi="Calibri" w:cs="Calibri"/>
          <w:noProof/>
          <w:sz w:val="18"/>
          <w:szCs w:val="18"/>
        </w:rPr>
        <w:t>ibid</w:t>
      </w:r>
    </w:p>
  </w:footnote>
  <w:footnote w:id="130">
    <w:p w14:paraId="55169C69" w14:textId="730F075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31">
    <w:p w14:paraId="6DB13C79" w14:textId="27154A69" w:rsidR="00682502" w:rsidRDefault="00682502">
      <w:pPr>
        <w:pStyle w:val="FootnoteText"/>
      </w:pPr>
      <w:r w:rsidRPr="00682502">
        <w:rPr>
          <w:rStyle w:val="FootnoteReference"/>
        </w:rPr>
        <w:footnoteRef/>
      </w:r>
      <w:r>
        <w:t xml:space="preserve"> ibid</w:t>
      </w:r>
    </w:p>
  </w:footnote>
  <w:footnote w:id="132">
    <w:p w14:paraId="4B0F89A4" w14:textId="233FEA0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Ugboko HU, Nwinyi OC, Oranusi SU, Oyewale JO. Childhood diarrhoeal diseases in developing countries. </w:t>
      </w:r>
      <w:r w:rsidRPr="00355CF8">
        <w:rPr>
          <w:rFonts w:ascii="Calibri" w:hAnsi="Calibri" w:cs="Calibri"/>
          <w:i/>
          <w:iCs/>
          <w:noProof/>
          <w:sz w:val="18"/>
          <w:szCs w:val="18"/>
        </w:rPr>
        <w:t>Heliyon</w:t>
      </w:r>
      <w:r w:rsidRPr="00355CF8">
        <w:rPr>
          <w:rFonts w:ascii="Calibri" w:hAnsi="Calibri" w:cs="Calibri"/>
          <w:noProof/>
          <w:sz w:val="18"/>
          <w:szCs w:val="18"/>
        </w:rPr>
        <w:t>. 2020;6(4). doi:10.1016/J.HELIYON.2020.E03690</w:t>
      </w:r>
    </w:p>
  </w:footnote>
  <w:footnote w:id="133">
    <w:p w14:paraId="5E8DCBFB" w14:textId="1B8CA685" w:rsidR="00682502" w:rsidRDefault="00682502">
      <w:pPr>
        <w:pStyle w:val="FootnoteText"/>
      </w:pPr>
      <w:r w:rsidRPr="00682502">
        <w:rPr>
          <w:rStyle w:val="FootnoteReference"/>
        </w:rPr>
        <w:footnoteRef/>
      </w:r>
      <w:r>
        <w:t xml:space="preserve"> ibid</w:t>
      </w:r>
    </w:p>
  </w:footnote>
  <w:footnote w:id="134">
    <w:p w14:paraId="20C28697" w14:textId="1D036588" w:rsidR="00682502" w:rsidRDefault="00682502">
      <w:pPr>
        <w:pStyle w:val="FootnoteText"/>
      </w:pPr>
      <w:r w:rsidRPr="00682502">
        <w:rPr>
          <w:rStyle w:val="FootnoteReference"/>
        </w:rPr>
        <w:footnoteRef/>
      </w:r>
      <w:r>
        <w:t xml:space="preserve"> ibid</w:t>
      </w:r>
    </w:p>
  </w:footnote>
  <w:footnote w:id="135">
    <w:p w14:paraId="04F00F0F" w14:textId="6FFCD079"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Otieno GP, Bottomley C, Khagayi S, et al. Impact of the Introduction of Rotavirus Vaccine on Hospital Admissions for Diarrhea Among Children in Kenya: A Controlled Interrupted Time-Series Analysis. </w:t>
      </w:r>
      <w:r w:rsidRPr="00355CF8">
        <w:rPr>
          <w:rFonts w:ascii="Calibri" w:hAnsi="Calibri" w:cs="Calibri"/>
          <w:i/>
          <w:iCs/>
          <w:noProof/>
          <w:sz w:val="18"/>
          <w:szCs w:val="18"/>
        </w:rPr>
        <w:t>Clin Infect Dis</w:t>
      </w:r>
      <w:r w:rsidRPr="00355CF8">
        <w:rPr>
          <w:rFonts w:ascii="Calibri" w:hAnsi="Calibri" w:cs="Calibri"/>
          <w:noProof/>
          <w:sz w:val="18"/>
          <w:szCs w:val="18"/>
        </w:rPr>
        <w:t>. 2020;70(11):2306-2313. doi:10.1093/CID/CIZ912</w:t>
      </w:r>
    </w:p>
  </w:footnote>
  <w:footnote w:id="136">
    <w:p w14:paraId="5760E1EF" w14:textId="6E825090" w:rsidR="00682502" w:rsidRPr="00D93962" w:rsidRDefault="00682502" w:rsidP="00D93962">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Office of disease prevention and health promotion. Healthy People 2020- Immunization and Infectious Diseases. https://www.healthypeople.gov/2020/topics-objectives/topic/immunization-and-infectious-diseases/objectives</w:t>
      </w:r>
    </w:p>
  </w:footnote>
  <w:footnote w:id="137">
    <w:p w14:paraId="3D51E404" w14:textId="652E5B2B" w:rsidR="00682502" w:rsidRPr="00D93962" w:rsidRDefault="00682502" w:rsidP="00D93962">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Wandera EA, Mohammad S, Ouko JO, Yatitch J, Taniguchi K, Ichinose Y. Variation in rotavirus vaccine coverage by sub-counties in Kenya. </w:t>
      </w:r>
      <w:r w:rsidRPr="00355CF8">
        <w:rPr>
          <w:rFonts w:ascii="Calibri" w:hAnsi="Calibri" w:cs="Calibri"/>
          <w:i/>
          <w:iCs/>
          <w:noProof/>
          <w:sz w:val="18"/>
          <w:szCs w:val="18"/>
        </w:rPr>
        <w:t>Trop Med Health</w:t>
      </w:r>
      <w:r w:rsidRPr="00355CF8">
        <w:rPr>
          <w:rFonts w:ascii="Calibri" w:hAnsi="Calibri" w:cs="Calibri"/>
          <w:noProof/>
          <w:sz w:val="18"/>
          <w:szCs w:val="18"/>
        </w:rPr>
        <w:t>. 2017;45(1):1-5. doi:10.1186/S41182-017-0051-Z/FIGURES/1</w:t>
      </w:r>
    </w:p>
  </w:footnote>
  <w:footnote w:id="138">
    <w:p w14:paraId="61C54546" w14:textId="281DD58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Diarrhoeal Disease</w:t>
      </w:r>
      <w:r w:rsidRPr="00355CF8">
        <w:rPr>
          <w:rFonts w:ascii="Calibri" w:hAnsi="Calibri" w:cs="Calibri"/>
          <w:noProof/>
          <w:sz w:val="18"/>
          <w:szCs w:val="18"/>
        </w:rPr>
        <w:t>.; 2017. Accessed March 8, 2022. https://www.who.int/news-room/fact-sheets/detail/diarrhoeal-disease</w:t>
      </w:r>
    </w:p>
  </w:footnote>
  <w:footnote w:id="139">
    <w:p w14:paraId="292C6E2C" w14:textId="5074178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40">
    <w:p w14:paraId="56DBEB9E" w14:textId="682CE58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Types of ORS. </w:t>
      </w:r>
      <w:r w:rsidRPr="00355CF8">
        <w:rPr>
          <w:rFonts w:ascii="Calibri" w:hAnsi="Calibri" w:cs="Calibri"/>
          <w:i/>
          <w:iCs/>
          <w:noProof/>
          <w:sz w:val="18"/>
          <w:szCs w:val="18"/>
        </w:rPr>
        <w:t>Ann Community Heal</w:t>
      </w:r>
      <w:r w:rsidRPr="00355CF8">
        <w:rPr>
          <w:rFonts w:ascii="Calibri" w:hAnsi="Calibri" w:cs="Calibri"/>
          <w:noProof/>
          <w:sz w:val="18"/>
          <w:szCs w:val="18"/>
        </w:rPr>
        <w:t>. Accessed March 20, 2022. http://www.annalsofcommunityhealth.in/ojs/index.php/AoCH/pages/view/ors</w:t>
      </w:r>
    </w:p>
  </w:footnote>
  <w:footnote w:id="141">
    <w:p w14:paraId="1D3BDF7C" w14:textId="77D630A0" w:rsidR="00682502" w:rsidRPr="00F03647" w:rsidRDefault="00682502" w:rsidP="00F03647">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Kassaye M, Larson C, Carlson D. A Randomized Community Trial of Prepackaged and Homemade Oral Rehydration Therapies. </w:t>
      </w:r>
      <w:r w:rsidRPr="00355CF8">
        <w:rPr>
          <w:rFonts w:ascii="Calibri" w:hAnsi="Calibri" w:cs="Calibri"/>
          <w:i/>
          <w:iCs/>
          <w:noProof/>
          <w:sz w:val="18"/>
          <w:szCs w:val="18"/>
        </w:rPr>
        <w:t>Arch Pediatr Adolesc Med</w:t>
      </w:r>
      <w:r w:rsidRPr="00355CF8">
        <w:rPr>
          <w:rFonts w:ascii="Calibri" w:hAnsi="Calibri" w:cs="Calibri"/>
          <w:noProof/>
          <w:sz w:val="18"/>
          <w:szCs w:val="18"/>
        </w:rPr>
        <w:t>. 1994;148(12):1288-1292. doi:10.1001/ARCHPEDI.1994.02170120050008</w:t>
      </w:r>
    </w:p>
  </w:footnote>
  <w:footnote w:id="142">
    <w:p w14:paraId="08C6596E" w14:textId="57D79FDB"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 </w:t>
      </w:r>
    </w:p>
  </w:footnote>
  <w:footnote w:id="143">
    <w:p w14:paraId="0AF7F9EA" w14:textId="29554C2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Diarrhoeal Disease</w:t>
      </w:r>
      <w:r w:rsidRPr="00355CF8">
        <w:rPr>
          <w:rFonts w:ascii="Calibri" w:hAnsi="Calibri" w:cs="Calibri"/>
          <w:noProof/>
          <w:sz w:val="18"/>
          <w:szCs w:val="18"/>
        </w:rPr>
        <w:t>.</w:t>
      </w:r>
      <w:r>
        <w:rPr>
          <w:rFonts w:ascii="Calibri" w:hAnsi="Calibri" w:cs="Calibri"/>
          <w:noProof/>
          <w:sz w:val="18"/>
          <w:szCs w:val="18"/>
        </w:rPr>
        <w:t xml:space="preserve"> Op. cit.</w:t>
      </w:r>
    </w:p>
  </w:footnote>
  <w:footnote w:id="144">
    <w:p w14:paraId="5D0FBE15" w14:textId="38D08750"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National Bureau of Statistics. </w:t>
      </w:r>
      <w:r w:rsidRPr="00355CF8">
        <w:rPr>
          <w:rFonts w:ascii="Calibri" w:hAnsi="Calibri" w:cs="Calibri"/>
          <w:i/>
          <w:iCs/>
          <w:noProof/>
          <w:sz w:val="18"/>
          <w:szCs w:val="18"/>
        </w:rPr>
        <w:t>Kenya, Kisii County, Multiple Indicator Cluster Survey (MICS)</w:t>
      </w:r>
      <w:r w:rsidRPr="00355CF8">
        <w:rPr>
          <w:rFonts w:ascii="Calibri" w:hAnsi="Calibri" w:cs="Calibri"/>
          <w:noProof/>
          <w:sz w:val="18"/>
          <w:szCs w:val="18"/>
        </w:rPr>
        <w:t>.; 2011.</w:t>
      </w:r>
    </w:p>
  </w:footnote>
  <w:footnote w:id="145">
    <w:p w14:paraId="6BDF86C5" w14:textId="4328DADD"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National Bureau of Statistics. </w:t>
      </w:r>
      <w:r>
        <w:t>Op. cit.</w:t>
      </w:r>
    </w:p>
  </w:footnote>
  <w:footnote w:id="146">
    <w:p w14:paraId="1E0B0BAA" w14:textId="0906DA3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Abbafati C, Abbas KM, Abbasi-Kangevari M, et al. Global burden of 87 risk factors in 204 countries and territories, 1990–2019: a systematic analysis for the Global Burden of Disease Study 2019. </w:t>
      </w:r>
      <w:r w:rsidRPr="00355CF8">
        <w:rPr>
          <w:rFonts w:ascii="Calibri" w:hAnsi="Calibri" w:cs="Calibri"/>
          <w:i/>
          <w:iCs/>
          <w:noProof/>
          <w:sz w:val="18"/>
          <w:szCs w:val="18"/>
        </w:rPr>
        <w:t>Lancet</w:t>
      </w:r>
      <w:r w:rsidRPr="00355CF8">
        <w:rPr>
          <w:rFonts w:ascii="Calibri" w:hAnsi="Calibri" w:cs="Calibri"/>
          <w:noProof/>
          <w:sz w:val="18"/>
          <w:szCs w:val="18"/>
        </w:rPr>
        <w:t>. 2020;396(10258):1223-1249. doi:10.1016/S0140-6736(20)30752-2</w:t>
      </w:r>
    </w:p>
  </w:footnote>
  <w:footnote w:id="147">
    <w:p w14:paraId="483A9052" w14:textId="43DF2A6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Pneumonia. Published 2021. Accessed March 20, 2022. https://www.who.int/news-room/fact-sheets/detail/pneumonia</w:t>
      </w:r>
    </w:p>
  </w:footnote>
  <w:footnote w:id="148">
    <w:p w14:paraId="6E100FD0" w14:textId="4875576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Pneumonia. Published 2021. Accessed March 20, 2022. https://www.who.int/news-room/fact-sheets/detail/pneumonia</w:t>
      </w:r>
    </w:p>
  </w:footnote>
  <w:footnote w:id="149">
    <w:p w14:paraId="195BD076" w14:textId="730FA010" w:rsidR="00682502" w:rsidRDefault="00682502">
      <w:pPr>
        <w:pStyle w:val="FootnoteText"/>
      </w:pPr>
      <w:r w:rsidRPr="00682502">
        <w:rPr>
          <w:rStyle w:val="FootnoteReference"/>
        </w:rPr>
        <w:footnoteRef/>
      </w:r>
      <w:r>
        <w:t xml:space="preserve"> ibid</w:t>
      </w:r>
    </w:p>
  </w:footnote>
  <w:footnote w:id="150">
    <w:p w14:paraId="759082D7" w14:textId="35E28685" w:rsidR="00682502" w:rsidRDefault="00682502">
      <w:pPr>
        <w:pStyle w:val="FootnoteText"/>
      </w:pPr>
      <w:r w:rsidRPr="00682502">
        <w:rPr>
          <w:rStyle w:val="FootnoteReference"/>
        </w:rPr>
        <w:footnoteRef/>
      </w:r>
      <w:r>
        <w:t xml:space="preserve"> ibid</w:t>
      </w:r>
    </w:p>
  </w:footnote>
  <w:footnote w:id="151">
    <w:p w14:paraId="1087F653" w14:textId="03406E8D"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52">
    <w:p w14:paraId="214481BB" w14:textId="075DE7AE" w:rsidR="00682502" w:rsidRDefault="00682502">
      <w:pPr>
        <w:pStyle w:val="FootnoteText"/>
      </w:pPr>
      <w:r w:rsidRPr="00682502">
        <w:rPr>
          <w:rStyle w:val="FootnoteReference"/>
        </w:rPr>
        <w:footnoteRef/>
      </w:r>
      <w:r>
        <w:t xml:space="preserve"> ibid</w:t>
      </w:r>
    </w:p>
  </w:footnote>
  <w:footnote w:id="153">
    <w:p w14:paraId="3BEAD25B" w14:textId="06FE80C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National Bureau of Statistics. </w:t>
      </w:r>
      <w:r w:rsidRPr="00355CF8">
        <w:rPr>
          <w:rFonts w:ascii="Calibri" w:hAnsi="Calibri" w:cs="Calibri"/>
          <w:i/>
          <w:iCs/>
          <w:noProof/>
          <w:sz w:val="18"/>
          <w:szCs w:val="18"/>
        </w:rPr>
        <w:t>Kenya, Kisii County, Multiple Indicator Cluster Survey (MICS)</w:t>
      </w:r>
      <w:r w:rsidRPr="00355CF8">
        <w:rPr>
          <w:rFonts w:ascii="Calibri" w:hAnsi="Calibri" w:cs="Calibri"/>
          <w:noProof/>
          <w:sz w:val="18"/>
          <w:szCs w:val="18"/>
        </w:rPr>
        <w:t>.; 2011.</w:t>
      </w:r>
    </w:p>
  </w:footnote>
  <w:footnote w:id="154">
    <w:p w14:paraId="2BBD11AF" w14:textId="734917B6" w:rsidR="00682502" w:rsidRDefault="00682502">
      <w:pPr>
        <w:pStyle w:val="FootnoteText"/>
      </w:pPr>
      <w:r w:rsidRPr="00682502">
        <w:rPr>
          <w:rStyle w:val="FootnoteReference"/>
        </w:rPr>
        <w:footnoteRef/>
      </w:r>
      <w:r>
        <w:t xml:space="preserve"> </w:t>
      </w:r>
      <w:r w:rsidRPr="00572C8A">
        <w:rPr>
          <w:rFonts w:ascii="Calibri" w:hAnsi="Calibri" w:cs="Calibri"/>
          <w:noProof/>
          <w:sz w:val="18"/>
          <w:szCs w:val="18"/>
        </w:rPr>
        <w:t>Ministry of Health Division of National Malaria Programme Nairobi Republic of Kenya Ministry of Health. Kenya Malaria Indicator Survey 2020 Final Report. Published online 2021. Accessed February 16, 2022.</w:t>
      </w:r>
    </w:p>
  </w:footnote>
  <w:footnote w:id="155">
    <w:p w14:paraId="12AE244E" w14:textId="128EBA5A" w:rsidR="00682502" w:rsidRDefault="00682502">
      <w:pPr>
        <w:pStyle w:val="FootnoteText"/>
      </w:pPr>
      <w:r w:rsidRPr="00682502">
        <w:rPr>
          <w:rStyle w:val="FootnoteReference"/>
        </w:rPr>
        <w:footnoteRef/>
      </w:r>
      <w:r>
        <w:t xml:space="preserve"> ibid</w:t>
      </w:r>
    </w:p>
  </w:footnote>
  <w:footnote w:id="156">
    <w:p w14:paraId="11DEB835" w14:textId="1139A52E" w:rsidR="00682502" w:rsidRDefault="00682502">
      <w:pPr>
        <w:pStyle w:val="FootnoteText"/>
      </w:pPr>
      <w:r w:rsidRPr="00682502">
        <w:rPr>
          <w:rStyle w:val="FootnoteReference"/>
        </w:rPr>
        <w:footnoteRef/>
      </w:r>
      <w:r>
        <w:t xml:space="preserve"> ibid</w:t>
      </w:r>
    </w:p>
  </w:footnote>
  <w:footnote w:id="157">
    <w:p w14:paraId="0CFAA3E7" w14:textId="65ECE6A0" w:rsidR="00682502" w:rsidRPr="009F1379" w:rsidRDefault="00682502" w:rsidP="009F1379">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 Available from https://vizhub.healthdata.org/gbd-compare/ (Accessed Feb 28, 2022).</w:t>
      </w:r>
    </w:p>
  </w:footnote>
  <w:footnote w:id="158">
    <w:p w14:paraId="75EC8FD0" w14:textId="3C464E1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Ministry of Health Division of National Malaria Programme Nairobi Republic of Kenya Ministry of Health</w:t>
      </w:r>
      <w:r>
        <w:rPr>
          <w:rFonts w:ascii="Calibri" w:hAnsi="Calibri" w:cs="Calibri"/>
          <w:noProof/>
          <w:sz w:val="18"/>
          <w:szCs w:val="18"/>
        </w:rPr>
        <w:t>. Op. cit.</w:t>
      </w:r>
    </w:p>
  </w:footnote>
  <w:footnote w:id="159">
    <w:p w14:paraId="52C39BD9" w14:textId="203F0326"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Ministry of Health Division of National Malaria Programme Nairobi Republic of Kenya Ministry of Health. Kenya Malaria Indicator Survey 2020 Final Report. Published online 2021. Accessed February 16, 2022.</w:t>
      </w:r>
    </w:p>
  </w:footnote>
  <w:footnote w:id="160">
    <w:p w14:paraId="3F0A4C9D" w14:textId="0F989929" w:rsidR="00682502" w:rsidRDefault="00682502">
      <w:pPr>
        <w:pStyle w:val="FootnoteText"/>
      </w:pPr>
      <w:r w:rsidRPr="00682502">
        <w:rPr>
          <w:rStyle w:val="FootnoteReference"/>
        </w:rPr>
        <w:footnoteRef/>
      </w:r>
      <w:r>
        <w:t xml:space="preserve"> ibid</w:t>
      </w:r>
    </w:p>
  </w:footnote>
  <w:footnote w:id="161">
    <w:p w14:paraId="4D41363E" w14:textId="3C3D3709" w:rsidR="00682502" w:rsidRDefault="00682502">
      <w:pPr>
        <w:pStyle w:val="FootnoteText"/>
      </w:pPr>
      <w:r w:rsidRPr="00682502">
        <w:rPr>
          <w:rStyle w:val="FootnoteReference"/>
        </w:rPr>
        <w:footnoteRef/>
      </w:r>
      <w:r>
        <w:t xml:space="preserve"> ibid</w:t>
      </w:r>
    </w:p>
  </w:footnote>
  <w:footnote w:id="162">
    <w:p w14:paraId="0FECEB91" w14:textId="7A640F3C" w:rsidR="00682502" w:rsidRDefault="00682502">
      <w:pPr>
        <w:pStyle w:val="FootnoteText"/>
      </w:pPr>
      <w:r w:rsidRPr="00682502">
        <w:rPr>
          <w:rStyle w:val="FootnoteReference"/>
        </w:rPr>
        <w:footnoteRef/>
      </w:r>
      <w:r>
        <w:t xml:space="preserve"> ibid</w:t>
      </w:r>
    </w:p>
  </w:footnote>
  <w:footnote w:id="163">
    <w:p w14:paraId="5D4A0B5D" w14:textId="4CED507C" w:rsidR="00682502" w:rsidRDefault="00682502">
      <w:pPr>
        <w:pStyle w:val="FootnoteText"/>
      </w:pPr>
      <w:r w:rsidRPr="00682502">
        <w:rPr>
          <w:rStyle w:val="FootnoteReference"/>
        </w:rPr>
        <w:footnoteRef/>
      </w:r>
      <w:r>
        <w:t xml:space="preserve"> ibid</w:t>
      </w:r>
    </w:p>
  </w:footnote>
  <w:footnote w:id="164">
    <w:p w14:paraId="6C4005E4" w14:textId="66B76343" w:rsidR="00682502" w:rsidRDefault="00682502">
      <w:pPr>
        <w:pStyle w:val="FootnoteText"/>
      </w:pPr>
      <w:r w:rsidRPr="00682502">
        <w:rPr>
          <w:rStyle w:val="FootnoteReference"/>
        </w:rPr>
        <w:footnoteRef/>
      </w:r>
      <w:r>
        <w:t xml:space="preserve"> ibid</w:t>
      </w:r>
    </w:p>
  </w:footnote>
  <w:footnote w:id="165">
    <w:p w14:paraId="415E4DB7" w14:textId="004CF71D" w:rsidR="00682502" w:rsidRDefault="00682502">
      <w:pPr>
        <w:pStyle w:val="FootnoteText"/>
      </w:pPr>
      <w:r w:rsidRPr="00682502">
        <w:rPr>
          <w:rStyle w:val="FootnoteReference"/>
        </w:rPr>
        <w:footnoteRef/>
      </w:r>
      <w:r>
        <w:t xml:space="preserve"> ibid</w:t>
      </w:r>
    </w:p>
  </w:footnote>
  <w:footnote w:id="166">
    <w:p w14:paraId="4C90D523" w14:textId="64A6B530" w:rsidR="00682502" w:rsidRDefault="00682502">
      <w:pPr>
        <w:pStyle w:val="FootnoteText"/>
      </w:pPr>
      <w:r w:rsidRPr="00682502">
        <w:rPr>
          <w:rStyle w:val="FootnoteReference"/>
        </w:rPr>
        <w:footnoteRef/>
      </w:r>
      <w:r>
        <w:t xml:space="preserve"> ibid</w:t>
      </w:r>
    </w:p>
  </w:footnote>
  <w:footnote w:id="167">
    <w:p w14:paraId="1346D1C8" w14:textId="7D233655" w:rsidR="00682502" w:rsidRDefault="00682502">
      <w:pPr>
        <w:pStyle w:val="FootnoteText"/>
      </w:pPr>
      <w:r w:rsidRPr="00682502">
        <w:rPr>
          <w:rStyle w:val="FootnoteReference"/>
        </w:rPr>
        <w:footnoteRef/>
      </w:r>
      <w:r>
        <w:t xml:space="preserve"> ibid</w:t>
      </w:r>
    </w:p>
  </w:footnote>
  <w:footnote w:id="168">
    <w:p w14:paraId="4F03A610" w14:textId="71F3A85B" w:rsidR="00682502" w:rsidRDefault="00682502">
      <w:pPr>
        <w:pStyle w:val="FootnoteText"/>
      </w:pPr>
      <w:r w:rsidRPr="00682502">
        <w:rPr>
          <w:rStyle w:val="FootnoteReference"/>
        </w:rPr>
        <w:footnoteRef/>
      </w:r>
      <w:r>
        <w:t xml:space="preserve"> ibid</w:t>
      </w:r>
    </w:p>
  </w:footnote>
  <w:footnote w:id="169">
    <w:p w14:paraId="0D8924DF" w14:textId="7BC945E5" w:rsidR="00682502" w:rsidRDefault="00682502">
      <w:pPr>
        <w:pStyle w:val="FootnoteText"/>
      </w:pPr>
      <w:r w:rsidRPr="00682502">
        <w:rPr>
          <w:rStyle w:val="FootnoteReference"/>
        </w:rPr>
        <w:footnoteRef/>
      </w:r>
      <w:r>
        <w:t xml:space="preserve"> ibid</w:t>
      </w:r>
    </w:p>
  </w:footnote>
  <w:footnote w:id="170">
    <w:p w14:paraId="441F9BE3" w14:textId="1D73BE5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Chuma J, Okungu V, Ntwiga J, Molyneux C. Towards achieving Abuja targets: Identifying and addressing barriers to access and use of insecticides treated nets among the poorest populations in Kenya. </w:t>
      </w:r>
      <w:r w:rsidRPr="00355CF8">
        <w:rPr>
          <w:rFonts w:ascii="Calibri" w:hAnsi="Calibri" w:cs="Calibri"/>
          <w:i/>
          <w:iCs/>
          <w:noProof/>
          <w:sz w:val="18"/>
          <w:szCs w:val="18"/>
        </w:rPr>
        <w:t>BMC Public Health</w:t>
      </w:r>
      <w:r w:rsidRPr="00355CF8">
        <w:rPr>
          <w:rFonts w:ascii="Calibri" w:hAnsi="Calibri" w:cs="Calibri"/>
          <w:noProof/>
          <w:sz w:val="18"/>
          <w:szCs w:val="18"/>
        </w:rPr>
        <w:t>. 2010;10(1):1-14. doi:10.1186/1471-2458-10-137/FIGURES/2</w:t>
      </w:r>
    </w:p>
  </w:footnote>
  <w:footnote w:id="171">
    <w:p w14:paraId="043CF00D" w14:textId="01A6FA0E" w:rsidR="00682502" w:rsidRDefault="00682502">
      <w:pPr>
        <w:pStyle w:val="FootnoteText"/>
      </w:pPr>
      <w:r w:rsidRPr="00682502">
        <w:rPr>
          <w:rStyle w:val="FootnoteReference"/>
        </w:rPr>
        <w:footnoteRef/>
      </w:r>
      <w:r>
        <w:t xml:space="preserve"> ibid</w:t>
      </w:r>
    </w:p>
  </w:footnote>
  <w:footnote w:id="172">
    <w:p w14:paraId="3B4002EF" w14:textId="0CF107CC" w:rsidR="00682502" w:rsidRDefault="00682502">
      <w:pPr>
        <w:pStyle w:val="FootnoteText"/>
      </w:pPr>
      <w:r w:rsidRPr="00682502">
        <w:rPr>
          <w:rStyle w:val="FootnoteReference"/>
        </w:rPr>
        <w:footnoteRef/>
      </w:r>
      <w:r>
        <w:t xml:space="preserve"> ibid</w:t>
      </w:r>
    </w:p>
  </w:footnote>
  <w:footnote w:id="173">
    <w:p w14:paraId="3BEFEBBD" w14:textId="7086AD25" w:rsidR="00682502" w:rsidRDefault="00682502">
      <w:pPr>
        <w:pStyle w:val="FootnoteText"/>
      </w:pPr>
      <w:r w:rsidRPr="00682502">
        <w:rPr>
          <w:rStyle w:val="FootnoteReference"/>
        </w:rPr>
        <w:footnoteRef/>
      </w:r>
      <w:r>
        <w:t xml:space="preserve"> ibid</w:t>
      </w:r>
    </w:p>
  </w:footnote>
  <w:footnote w:id="174">
    <w:p w14:paraId="0A73F148" w14:textId="7A60667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75">
    <w:p w14:paraId="664E4FA7" w14:textId="7C950A5C" w:rsidR="00682502" w:rsidRDefault="00682502">
      <w:pPr>
        <w:pStyle w:val="FootnoteText"/>
      </w:pPr>
      <w:r w:rsidRPr="00682502">
        <w:rPr>
          <w:rStyle w:val="FootnoteReference"/>
        </w:rPr>
        <w:footnoteRef/>
      </w:r>
      <w:r>
        <w:t xml:space="preserve"> ibid</w:t>
      </w:r>
    </w:p>
  </w:footnote>
  <w:footnote w:id="176">
    <w:p w14:paraId="3DA98476" w14:textId="01ECBDAC" w:rsidR="00682502" w:rsidRDefault="00682502">
      <w:pPr>
        <w:pStyle w:val="FootnoteText"/>
      </w:pPr>
      <w:r w:rsidRPr="00682502">
        <w:rPr>
          <w:rStyle w:val="FootnoteReference"/>
        </w:rPr>
        <w:footnoteRef/>
      </w:r>
      <w:r>
        <w:t xml:space="preserve"> ibid</w:t>
      </w:r>
    </w:p>
  </w:footnote>
  <w:footnote w:id="177">
    <w:p w14:paraId="7D8AB205" w14:textId="42765BB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Niru J. </w:t>
      </w:r>
      <w:r w:rsidRPr="00355CF8">
        <w:rPr>
          <w:rFonts w:ascii="Calibri" w:hAnsi="Calibri" w:cs="Calibri"/>
          <w:i/>
          <w:iCs/>
          <w:noProof/>
          <w:sz w:val="18"/>
          <w:szCs w:val="18"/>
        </w:rPr>
        <w:t>Knowledge Practice and Coverage Survey Report. Kitutu Chache South Subcounty</w:t>
      </w:r>
      <w:r w:rsidRPr="00355CF8">
        <w:rPr>
          <w:rFonts w:ascii="Calibri" w:hAnsi="Calibri" w:cs="Calibri"/>
          <w:noProof/>
          <w:sz w:val="18"/>
          <w:szCs w:val="18"/>
        </w:rPr>
        <w:t>.; 2018.</w:t>
      </w:r>
    </w:p>
  </w:footnote>
  <w:footnote w:id="178">
    <w:p w14:paraId="44B6F585" w14:textId="2CE6D4B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Agócs M, Ismail A, Kamande K, et al. Reasons why children miss vaccinations in Western Kenya; A step in a five-point plan to improve routine immunization. </w:t>
      </w:r>
      <w:r w:rsidRPr="00355CF8">
        <w:rPr>
          <w:rFonts w:ascii="Calibri" w:hAnsi="Calibri" w:cs="Calibri"/>
          <w:i/>
          <w:iCs/>
          <w:noProof/>
          <w:sz w:val="18"/>
          <w:szCs w:val="18"/>
        </w:rPr>
        <w:t>Vaccine</w:t>
      </w:r>
      <w:r w:rsidRPr="00355CF8">
        <w:rPr>
          <w:rFonts w:ascii="Calibri" w:hAnsi="Calibri" w:cs="Calibri"/>
          <w:noProof/>
          <w:sz w:val="18"/>
          <w:szCs w:val="18"/>
        </w:rPr>
        <w:t>. 2021;39(34):4895-4902. doi:10.1016/J.VACCINE.2021.02.071</w:t>
      </w:r>
    </w:p>
  </w:footnote>
  <w:footnote w:id="179">
    <w:p w14:paraId="3D3D5A77" w14:textId="133F2BF8" w:rsidR="00682502" w:rsidRDefault="00682502">
      <w:pPr>
        <w:pStyle w:val="FootnoteText"/>
      </w:pPr>
      <w:r w:rsidRPr="00682502">
        <w:rPr>
          <w:rStyle w:val="FootnoteReference"/>
        </w:rPr>
        <w:footnoteRef/>
      </w:r>
      <w:r>
        <w:t xml:space="preserve"> ibid</w:t>
      </w:r>
    </w:p>
  </w:footnote>
  <w:footnote w:id="180">
    <w:p w14:paraId="38379545" w14:textId="2D4805AD" w:rsidR="00682502" w:rsidRDefault="00682502">
      <w:pPr>
        <w:pStyle w:val="FootnoteText"/>
      </w:pPr>
      <w:r w:rsidRPr="00682502">
        <w:rPr>
          <w:rStyle w:val="FootnoteReference"/>
        </w:rPr>
        <w:footnoteRef/>
      </w:r>
      <w:r>
        <w:t xml:space="preserve"> ibid</w:t>
      </w:r>
    </w:p>
  </w:footnote>
  <w:footnote w:id="181">
    <w:p w14:paraId="2D489356" w14:textId="3DB7D08D"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Abbafati C, Abbas KM, Abbasi-Kangevari M, et al. Global burden of 87 risk factors in 204 countries and territories, 1990–2019: a systematic analysis for the Global Burden of Disease Study 2019. </w:t>
      </w:r>
      <w:r w:rsidRPr="00355CF8">
        <w:rPr>
          <w:rFonts w:ascii="Calibri" w:hAnsi="Calibri" w:cs="Calibri"/>
          <w:i/>
          <w:iCs/>
          <w:noProof/>
          <w:sz w:val="18"/>
          <w:szCs w:val="18"/>
        </w:rPr>
        <w:t>Lancet</w:t>
      </w:r>
      <w:r w:rsidRPr="00355CF8">
        <w:rPr>
          <w:rFonts w:ascii="Calibri" w:hAnsi="Calibri" w:cs="Calibri"/>
          <w:noProof/>
          <w:sz w:val="18"/>
          <w:szCs w:val="18"/>
        </w:rPr>
        <w:t>. 2020;396(10258):1223-1249. doi:10.1016/S0140-6736(20)30752-2</w:t>
      </w:r>
    </w:p>
  </w:footnote>
  <w:footnote w:id="182">
    <w:p w14:paraId="5C12D068" w14:textId="282E451B" w:rsidR="00682502" w:rsidRDefault="00682502">
      <w:pPr>
        <w:pStyle w:val="FootnoteText"/>
      </w:pPr>
      <w:r w:rsidRPr="00682502">
        <w:rPr>
          <w:rStyle w:val="FootnoteReference"/>
        </w:rPr>
        <w:footnoteRef/>
      </w:r>
      <w:r>
        <w:t xml:space="preserve"> ibid</w:t>
      </w:r>
    </w:p>
  </w:footnote>
  <w:footnote w:id="183">
    <w:p w14:paraId="20A925B5" w14:textId="6FC6FB8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Soliman A, De Sanctis V, Alaaraj N, et al. Early and Long-term Consequences of Nutritional Stunting: From Childhood to Adulthood. </w:t>
      </w:r>
      <w:r w:rsidRPr="00355CF8">
        <w:rPr>
          <w:rFonts w:ascii="Calibri" w:hAnsi="Calibri" w:cs="Calibri"/>
          <w:i/>
          <w:iCs/>
          <w:noProof/>
          <w:sz w:val="18"/>
          <w:szCs w:val="18"/>
        </w:rPr>
        <w:t>Acta Bio Medica  Atenei Parm</w:t>
      </w:r>
      <w:r w:rsidRPr="00355CF8">
        <w:rPr>
          <w:rFonts w:ascii="Calibri" w:hAnsi="Calibri" w:cs="Calibri"/>
          <w:noProof/>
          <w:sz w:val="18"/>
          <w:szCs w:val="18"/>
        </w:rPr>
        <w:t>. 2021;92(1):2021168. doi:10.23750/ABM.V92I1.11346</w:t>
      </w:r>
    </w:p>
  </w:footnote>
  <w:footnote w:id="184">
    <w:p w14:paraId="491D31FB" w14:textId="24568554" w:rsidR="00682502" w:rsidRDefault="00682502">
      <w:pPr>
        <w:pStyle w:val="FootnoteText"/>
      </w:pPr>
      <w:r w:rsidRPr="00682502">
        <w:rPr>
          <w:rStyle w:val="FootnoteReference"/>
        </w:rPr>
        <w:footnoteRef/>
      </w:r>
      <w:r>
        <w:t xml:space="preserve"> T</w:t>
      </w:r>
      <w:r w:rsidRPr="00355CF8">
        <w:rPr>
          <w:rFonts w:ascii="Calibri" w:hAnsi="Calibri" w:cs="Calibri"/>
          <w:noProof/>
          <w:sz w:val="18"/>
          <w:szCs w:val="18"/>
        </w:rPr>
        <w:t>he UNICEF/WHO/WB Joint Child Malnutrition Estimates (JME) group released new data for 2021. Accessed February 16, 2022. https://www.who.int/news/item/06-05-2021-the-unicef-who-wb-joint-child-malnutrition-estimates-group-released-new-data-for-2021</w:t>
      </w:r>
    </w:p>
  </w:footnote>
  <w:footnote w:id="185">
    <w:p w14:paraId="7D6DC6BA" w14:textId="27FC3F90" w:rsidR="00682502" w:rsidRDefault="00682502">
      <w:pPr>
        <w:pStyle w:val="FootnoteText"/>
      </w:pPr>
      <w:r w:rsidRPr="00682502">
        <w:rPr>
          <w:rStyle w:val="FootnoteReference"/>
        </w:rPr>
        <w:footnoteRef/>
      </w:r>
      <w:r>
        <w:t xml:space="preserve"> Ibid</w:t>
      </w:r>
    </w:p>
  </w:footnote>
  <w:footnote w:id="186">
    <w:p w14:paraId="2A3E01FA" w14:textId="0C5BCE04" w:rsidR="00682502" w:rsidRDefault="00682502">
      <w:pPr>
        <w:pStyle w:val="FootnoteText"/>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Bloss E, Wainaina F, Bailey RC. Prevalence and predictors of underweight, stunting, and wasting among children aged 5 and under in western Kenya. </w:t>
      </w:r>
      <w:r w:rsidRPr="00355CF8">
        <w:rPr>
          <w:rFonts w:ascii="Calibri" w:hAnsi="Calibri" w:cs="Calibri"/>
          <w:i/>
          <w:iCs/>
          <w:noProof/>
          <w:sz w:val="18"/>
          <w:szCs w:val="18"/>
        </w:rPr>
        <w:t>J Trop Pediatr</w:t>
      </w:r>
      <w:r w:rsidRPr="00355CF8">
        <w:rPr>
          <w:rFonts w:ascii="Calibri" w:hAnsi="Calibri" w:cs="Calibri"/>
          <w:noProof/>
          <w:sz w:val="18"/>
          <w:szCs w:val="18"/>
        </w:rPr>
        <w:t>. 2004;50(5):260-270. doi:10.1093/TROPEJ/50.5.260</w:t>
      </w:r>
    </w:p>
    <w:p w14:paraId="38FB24A7" w14:textId="77777777" w:rsidR="00682502" w:rsidRDefault="00682502">
      <w:pPr>
        <w:pStyle w:val="FootnoteText"/>
      </w:pPr>
    </w:p>
  </w:footnote>
  <w:footnote w:id="187">
    <w:p w14:paraId="2FB90209" w14:textId="1D1CDE15" w:rsidR="00682502" w:rsidRPr="009F1379" w:rsidRDefault="00682502" w:rsidP="009F1379">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Pr>
          <w:rFonts w:ascii="Calibri" w:hAnsi="Calibri" w:cs="Calibri"/>
          <w:noProof/>
          <w:sz w:val="18"/>
          <w:szCs w:val="18"/>
        </w:rPr>
        <w:t>Th</w:t>
      </w:r>
      <w:r w:rsidRPr="00355CF8">
        <w:rPr>
          <w:rFonts w:ascii="Calibri" w:hAnsi="Calibri" w:cs="Calibri"/>
          <w:noProof/>
          <w:sz w:val="18"/>
          <w:szCs w:val="18"/>
        </w:rPr>
        <w:t>e UNICEF/WHO/WB Joint Child Malnutrition Estimates (JME) group released new data for 2021. Accessed February 16,</w:t>
      </w:r>
      <w:r>
        <w:rPr>
          <w:rFonts w:ascii="Calibri" w:hAnsi="Calibri" w:cs="Calibri"/>
          <w:noProof/>
          <w:sz w:val="18"/>
          <w:szCs w:val="18"/>
        </w:rPr>
        <w:t xml:space="preserve"> </w:t>
      </w:r>
      <w:r w:rsidRPr="00355CF8">
        <w:rPr>
          <w:rFonts w:ascii="Calibri" w:hAnsi="Calibri" w:cs="Calibri"/>
          <w:noProof/>
          <w:sz w:val="18"/>
          <w:szCs w:val="18"/>
        </w:rPr>
        <w:t xml:space="preserve">2022. </w:t>
      </w:r>
      <w:hyperlink r:id="rId1" w:history="1">
        <w:r w:rsidRPr="00C563D1">
          <w:rPr>
            <w:rStyle w:val="Hyperlink"/>
            <w:rFonts w:ascii="Calibri" w:hAnsi="Calibri" w:cs="Calibri"/>
            <w:noProof/>
            <w:sz w:val="18"/>
            <w:szCs w:val="18"/>
          </w:rPr>
          <w:t>https://www.who.int/news/item/06-05-2021-the-unicef-who-wb-joint-child-malnutrition-estimates-group</w:t>
        </w:r>
      </w:hyperlink>
      <w:r>
        <w:rPr>
          <w:rFonts w:ascii="Calibri" w:hAnsi="Calibri" w:cs="Calibri"/>
          <w:noProof/>
          <w:sz w:val="18"/>
          <w:szCs w:val="18"/>
        </w:rPr>
        <w:t xml:space="preserve"> </w:t>
      </w:r>
      <w:r w:rsidRPr="00355CF8">
        <w:rPr>
          <w:rFonts w:ascii="Calibri" w:hAnsi="Calibri" w:cs="Calibri"/>
          <w:noProof/>
          <w:sz w:val="18"/>
          <w:szCs w:val="18"/>
        </w:rPr>
        <w:t>released-new-data-for-2021</w:t>
      </w:r>
    </w:p>
  </w:footnote>
  <w:footnote w:id="188">
    <w:p w14:paraId="5CC05601" w14:textId="6D26A159" w:rsidR="00682502" w:rsidRPr="009F1379" w:rsidRDefault="00682502" w:rsidP="009F1379">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Pr>
          <w:rFonts w:ascii="Calibri" w:hAnsi="Calibri" w:cs="Calibri"/>
          <w:noProof/>
          <w:sz w:val="18"/>
          <w:szCs w:val="18"/>
        </w:rPr>
        <w:t>Ibid</w:t>
      </w:r>
    </w:p>
  </w:footnote>
  <w:footnote w:id="189">
    <w:p w14:paraId="238DFD1F" w14:textId="776C87E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Wright CM, MacPherson J, Bland R, Ashorn P, Zaman S, Ho FK. Wasting and Stunting in Infants and Young Children as Risk Factors for Subsequent Stunting or Mortality: Longitudinal Analysis of Data from Malawi, South Africa, and Pakistan. </w:t>
      </w:r>
      <w:r w:rsidRPr="00355CF8">
        <w:rPr>
          <w:rFonts w:ascii="Calibri" w:hAnsi="Calibri" w:cs="Calibri"/>
          <w:i/>
          <w:iCs/>
          <w:noProof/>
          <w:sz w:val="18"/>
          <w:szCs w:val="18"/>
        </w:rPr>
        <w:t>J Nutr</w:t>
      </w:r>
      <w:r w:rsidRPr="00355CF8">
        <w:rPr>
          <w:rFonts w:ascii="Calibri" w:hAnsi="Calibri" w:cs="Calibri"/>
          <w:noProof/>
          <w:sz w:val="18"/>
          <w:szCs w:val="18"/>
        </w:rPr>
        <w:t>. 2021;151(7):2022-2028. doi:10.1093/JN/NXAB054</w:t>
      </w:r>
    </w:p>
  </w:footnote>
  <w:footnote w:id="190">
    <w:p w14:paraId="19F78532" w14:textId="446799D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The UNICEF/WHO/WB Joint Child Malnutrition Estimates (JME) group released new data for 2021. Accessed February 16, 2022. https://www.who.int/news/item/06-05-2021-the-unicef-who-wb-joint-child-malnutrition-estimates-group-released-new-data-for-2021</w:t>
      </w:r>
    </w:p>
  </w:footnote>
  <w:footnote w:id="191">
    <w:p w14:paraId="0622A3E8" w14:textId="6A61459C"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92">
    <w:p w14:paraId="28D35254" w14:textId="178EDEE5" w:rsidR="00682502" w:rsidRDefault="00682502">
      <w:pPr>
        <w:pStyle w:val="FootnoteText"/>
      </w:pPr>
      <w:r w:rsidRPr="00682502">
        <w:rPr>
          <w:rStyle w:val="FootnoteReference"/>
        </w:rPr>
        <w:footnoteRef/>
      </w:r>
      <w:r>
        <w:t xml:space="preserve"> ibid</w:t>
      </w:r>
    </w:p>
  </w:footnote>
  <w:footnote w:id="193">
    <w:p w14:paraId="10FF12A2" w14:textId="1C34001B" w:rsidR="00682502" w:rsidRDefault="00682502">
      <w:pPr>
        <w:pStyle w:val="FootnoteText"/>
      </w:pPr>
      <w:r w:rsidRPr="00682502">
        <w:rPr>
          <w:rStyle w:val="FootnoteReference"/>
        </w:rPr>
        <w:footnoteRef/>
      </w:r>
      <w:r>
        <w:t xml:space="preserve"> I</w:t>
      </w:r>
      <w:r w:rsidRPr="00355CF8">
        <w:rPr>
          <w:rFonts w:ascii="Calibri" w:hAnsi="Calibri" w:cs="Calibri"/>
          <w:noProof/>
          <w:sz w:val="18"/>
          <w:szCs w:val="18"/>
        </w:rPr>
        <w:t>nstitute for Health Metrics and Evaluation (IHME). GBD Compare. Seattle, WA: IHME University of Washington, 2019. Available from https://vizhub.healthdata.org/gbd-compare/ (Accessed Feb 28, 2022).</w:t>
      </w:r>
    </w:p>
  </w:footnote>
  <w:footnote w:id="194">
    <w:p w14:paraId="40D67626" w14:textId="0C91E231" w:rsidR="00682502" w:rsidRDefault="00682502">
      <w:pPr>
        <w:pStyle w:val="FootnoteText"/>
      </w:pPr>
      <w:r w:rsidRPr="00682502">
        <w:rPr>
          <w:rStyle w:val="FootnoteReference"/>
        </w:rPr>
        <w:footnoteRef/>
      </w:r>
      <w:r>
        <w:t xml:space="preserve"> Ibid</w:t>
      </w:r>
    </w:p>
  </w:footnote>
  <w:footnote w:id="195">
    <w:p w14:paraId="19971B4A" w14:textId="04EBAC7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196">
    <w:p w14:paraId="0DFA1A11" w14:textId="33A35656"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197">
    <w:p w14:paraId="32021BA4" w14:textId="4495D32E" w:rsidR="00682502" w:rsidRDefault="00682502">
      <w:pPr>
        <w:pStyle w:val="FootnoteText"/>
      </w:pPr>
      <w:r w:rsidRPr="00682502">
        <w:rPr>
          <w:rStyle w:val="FootnoteReference"/>
        </w:rPr>
        <w:footnoteRef/>
      </w:r>
      <w:r>
        <w:t xml:space="preserve"> I</w:t>
      </w:r>
      <w:r w:rsidRPr="00355CF8">
        <w:rPr>
          <w:rFonts w:ascii="Calibri" w:hAnsi="Calibri" w:cs="Calibri"/>
          <w:noProof/>
          <w:sz w:val="18"/>
          <w:szCs w:val="18"/>
        </w:rPr>
        <w:t>nstitute for Health Metrics and Evaluation (IHME). GBD Compare. Seattle, WA: IHME University of Washington, 2019. Available from https://vizhub.healthdata.org/gbd-compare/ (Accessed Feb 28, 2022).</w:t>
      </w:r>
    </w:p>
  </w:footnote>
  <w:footnote w:id="198">
    <w:p w14:paraId="42282CB0" w14:textId="07AFC34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199">
    <w:p w14:paraId="39496FFB" w14:textId="2A514F09" w:rsidR="00682502" w:rsidRDefault="00682502">
      <w:pPr>
        <w:pStyle w:val="FootnoteText"/>
      </w:pPr>
      <w:r w:rsidRPr="00682502">
        <w:rPr>
          <w:rStyle w:val="FootnoteReference"/>
        </w:rPr>
        <w:footnoteRef/>
      </w:r>
      <w:r>
        <w:t xml:space="preserve"> ibid</w:t>
      </w:r>
    </w:p>
  </w:footnote>
  <w:footnote w:id="200">
    <w:p w14:paraId="39CDD62F" w14:textId="2D8E559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National Bureau of Statistics. </w:t>
      </w:r>
      <w:r w:rsidRPr="00355CF8">
        <w:rPr>
          <w:rFonts w:ascii="Calibri" w:hAnsi="Calibri" w:cs="Calibri"/>
          <w:i/>
          <w:iCs/>
          <w:noProof/>
          <w:sz w:val="18"/>
          <w:szCs w:val="18"/>
        </w:rPr>
        <w:t>Kenya, Kisii County, Multiple Indicator Cluster Survey (MICS)</w:t>
      </w:r>
      <w:r w:rsidRPr="00355CF8">
        <w:rPr>
          <w:rFonts w:ascii="Calibri" w:hAnsi="Calibri" w:cs="Calibri"/>
          <w:noProof/>
          <w:sz w:val="18"/>
          <w:szCs w:val="18"/>
        </w:rPr>
        <w:t>.; 2011.</w:t>
      </w:r>
    </w:p>
  </w:footnote>
  <w:footnote w:id="201">
    <w:p w14:paraId="6D77DED7" w14:textId="0958F2B0" w:rsidR="00682502"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Kisii County Health Digest March 2018. Kisii County Department of Health, 2018.</w:t>
      </w:r>
      <w:r w:rsidRPr="00355CF8">
        <w:rPr>
          <w:rFonts w:ascii="Calibri" w:hAnsi="Calibri" w:cs="Calibri"/>
          <w:noProof/>
          <w:sz w:val="18"/>
          <w:szCs w:val="18"/>
        </w:rPr>
        <w:t>; 2018.</w:t>
      </w:r>
    </w:p>
  </w:footnote>
  <w:footnote w:id="202">
    <w:p w14:paraId="57891BAF" w14:textId="77071B3A" w:rsidR="00682502" w:rsidRDefault="00682502">
      <w:pPr>
        <w:pStyle w:val="FootnoteText"/>
      </w:pPr>
      <w:r w:rsidRPr="00682502">
        <w:rPr>
          <w:rStyle w:val="FootnoteReference"/>
        </w:rPr>
        <w:footnoteRef/>
      </w:r>
      <w:r>
        <w:t xml:space="preserve"> I</w:t>
      </w:r>
      <w:r w:rsidRPr="00355CF8">
        <w:rPr>
          <w:rFonts w:ascii="Calibri" w:hAnsi="Calibri" w:cs="Calibri"/>
          <w:noProof/>
          <w:sz w:val="18"/>
          <w:szCs w:val="18"/>
        </w:rPr>
        <w:t xml:space="preserve">nstitute for Health Metrics and Evaluation (IHME). </w:t>
      </w:r>
      <w:r>
        <w:rPr>
          <w:rFonts w:ascii="Calibri" w:hAnsi="Calibri" w:cs="Calibri"/>
          <w:noProof/>
          <w:sz w:val="18"/>
          <w:szCs w:val="18"/>
        </w:rPr>
        <w:t>Op. cit.</w:t>
      </w:r>
    </w:p>
  </w:footnote>
  <w:footnote w:id="203">
    <w:p w14:paraId="028571F9" w14:textId="1C58C8BF" w:rsidR="00682502" w:rsidRDefault="00682502">
      <w:pPr>
        <w:pStyle w:val="FootnoteText"/>
      </w:pPr>
      <w:r w:rsidRPr="00682502">
        <w:rPr>
          <w:rStyle w:val="FootnoteReference"/>
        </w:rPr>
        <w:footnoteRef/>
      </w:r>
      <w:r>
        <w:t xml:space="preserve"> ibid</w:t>
      </w:r>
    </w:p>
  </w:footnote>
  <w:footnote w:id="204">
    <w:p w14:paraId="249C5536" w14:textId="602BAC00" w:rsidR="00682502" w:rsidRDefault="00682502">
      <w:pPr>
        <w:pStyle w:val="FootnoteText"/>
      </w:pPr>
      <w:r w:rsidRPr="00682502">
        <w:rPr>
          <w:rStyle w:val="FootnoteReference"/>
        </w:rPr>
        <w:footnoteRef/>
      </w:r>
      <w:r>
        <w:t xml:space="preserve"> ibid</w:t>
      </w:r>
    </w:p>
  </w:footnote>
  <w:footnote w:id="205">
    <w:p w14:paraId="7058D0F7" w14:textId="14AD81AC" w:rsidR="00682502" w:rsidRDefault="00682502">
      <w:pPr>
        <w:pStyle w:val="FootnoteText"/>
      </w:pPr>
      <w:r w:rsidRPr="00682502">
        <w:rPr>
          <w:rStyle w:val="FootnoteReference"/>
        </w:rPr>
        <w:footnoteRef/>
      </w:r>
      <w:r>
        <w:t xml:space="preserve"> ibid</w:t>
      </w:r>
    </w:p>
  </w:footnote>
  <w:footnote w:id="206">
    <w:p w14:paraId="4430EF2A" w14:textId="473EC9F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Grantham-McGregor S, Cheung YB, Cueto S, Glewwe P, Richter L, Strupp B. Developmental potential in the first 5 years for children in developing countries. </w:t>
      </w:r>
      <w:r w:rsidRPr="00355CF8">
        <w:rPr>
          <w:rFonts w:ascii="Calibri" w:hAnsi="Calibri" w:cs="Calibri"/>
          <w:i/>
          <w:iCs/>
          <w:noProof/>
          <w:sz w:val="18"/>
          <w:szCs w:val="18"/>
        </w:rPr>
        <w:t>Lancet</w:t>
      </w:r>
      <w:r w:rsidRPr="00355CF8">
        <w:rPr>
          <w:rFonts w:ascii="Calibri" w:hAnsi="Calibri" w:cs="Calibri"/>
          <w:noProof/>
          <w:sz w:val="18"/>
          <w:szCs w:val="18"/>
        </w:rPr>
        <w:t>. 2007;369(9555):60-70. doi:10.1016/S0140-6736(07)60032-4</w:t>
      </w:r>
    </w:p>
  </w:footnote>
  <w:footnote w:id="207">
    <w:p w14:paraId="0AAA6733" w14:textId="2DEFB15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Dewey KG, Begum K. Long-term consequences of stunting in early life. </w:t>
      </w:r>
      <w:r w:rsidRPr="00355CF8">
        <w:rPr>
          <w:rFonts w:ascii="Calibri" w:hAnsi="Calibri" w:cs="Calibri"/>
          <w:i/>
          <w:iCs/>
          <w:noProof/>
          <w:sz w:val="18"/>
          <w:szCs w:val="18"/>
        </w:rPr>
        <w:t>Matern Child Nutr</w:t>
      </w:r>
      <w:r w:rsidRPr="00355CF8">
        <w:rPr>
          <w:rFonts w:ascii="Calibri" w:hAnsi="Calibri" w:cs="Calibri"/>
          <w:noProof/>
          <w:sz w:val="18"/>
          <w:szCs w:val="18"/>
        </w:rPr>
        <w:t>. 2011;7(SUPPL. 3):5-18. doi:10.1111/J.1740-8709.2011.00349.X</w:t>
      </w:r>
    </w:p>
  </w:footnote>
  <w:footnote w:id="208">
    <w:p w14:paraId="4CD4C064" w14:textId="1D5B1C4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Grantham-McGregor S, Cheung YB, Cueto S, Glewwe P, Richter L, Strupp B. Developmental potential in the first 5 years for children in developing countries. </w:t>
      </w:r>
      <w:r w:rsidRPr="00355CF8">
        <w:rPr>
          <w:rFonts w:ascii="Calibri" w:hAnsi="Calibri" w:cs="Calibri"/>
          <w:i/>
          <w:iCs/>
          <w:noProof/>
          <w:sz w:val="18"/>
          <w:szCs w:val="18"/>
        </w:rPr>
        <w:t>Lancet</w:t>
      </w:r>
      <w:r w:rsidRPr="00355CF8">
        <w:rPr>
          <w:rFonts w:ascii="Calibri" w:hAnsi="Calibri" w:cs="Calibri"/>
          <w:noProof/>
          <w:sz w:val="18"/>
          <w:szCs w:val="18"/>
        </w:rPr>
        <w:t>. 2007;369(9555):60-70. doi:10.1016/S0140-6736(07)60032-4</w:t>
      </w:r>
    </w:p>
  </w:footnote>
  <w:footnote w:id="209">
    <w:p w14:paraId="45CC71C9" w14:textId="5EEE0E64" w:rsidR="00682502" w:rsidRDefault="00682502">
      <w:pPr>
        <w:pStyle w:val="FootnoteText"/>
      </w:pPr>
      <w:r w:rsidRPr="00682502">
        <w:rPr>
          <w:rStyle w:val="FootnoteReference"/>
        </w:rPr>
        <w:footnoteRef/>
      </w:r>
      <w:r>
        <w:t xml:space="preserve"> ibid</w:t>
      </w:r>
    </w:p>
  </w:footnote>
  <w:footnote w:id="210">
    <w:p w14:paraId="51DF7788" w14:textId="1DDFA066"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Hoddinott J, Maluccio JA, Behrman JR, Flores R, Martorell R. Effect of a nutrition intervention during early childhood on economic productivity in Guatemalan adults. </w:t>
      </w:r>
      <w:r w:rsidRPr="00355CF8">
        <w:rPr>
          <w:rFonts w:ascii="Calibri" w:hAnsi="Calibri" w:cs="Calibri"/>
          <w:i/>
          <w:iCs/>
          <w:noProof/>
          <w:sz w:val="18"/>
          <w:szCs w:val="18"/>
        </w:rPr>
        <w:t>Lancet (London, England)</w:t>
      </w:r>
      <w:r w:rsidRPr="00355CF8">
        <w:rPr>
          <w:rFonts w:ascii="Calibri" w:hAnsi="Calibri" w:cs="Calibri"/>
          <w:noProof/>
          <w:sz w:val="18"/>
          <w:szCs w:val="18"/>
        </w:rPr>
        <w:t>. 2008;371(9610):411-416. doi:10.1016/S0140-6736(08)60205-6</w:t>
      </w:r>
    </w:p>
  </w:footnote>
  <w:footnote w:id="211">
    <w:p w14:paraId="0B42A9BE" w14:textId="6B7D2B0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Maluccio JA, Hoddinott J, Behrman JR, Martorell R, Quisumbing AR, Stein AD. The Impact of Improving Nutrition During Early Childhood on Education among Guatemalan Adults. </w:t>
      </w:r>
      <w:r w:rsidRPr="00355CF8">
        <w:rPr>
          <w:rFonts w:ascii="Calibri" w:hAnsi="Calibri" w:cs="Calibri"/>
          <w:i/>
          <w:iCs/>
          <w:noProof/>
          <w:sz w:val="18"/>
          <w:szCs w:val="18"/>
        </w:rPr>
        <w:t>Econ J</w:t>
      </w:r>
      <w:r w:rsidRPr="00355CF8">
        <w:rPr>
          <w:rFonts w:ascii="Calibri" w:hAnsi="Calibri" w:cs="Calibri"/>
          <w:noProof/>
          <w:sz w:val="18"/>
          <w:szCs w:val="18"/>
        </w:rPr>
        <w:t>. 2009;119(537):734-763. doi:10.1111/J.1468-0297.2009.02220.X</w:t>
      </w:r>
    </w:p>
  </w:footnote>
  <w:footnote w:id="212">
    <w:p w14:paraId="4DC9CEDC" w14:textId="24B498C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213">
    <w:p w14:paraId="35F3811D" w14:textId="0C8B2AFE" w:rsidR="00682502" w:rsidRPr="008E7790" w:rsidRDefault="00682502" w:rsidP="008E7790">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Pr>
          <w:rFonts w:ascii="Calibri" w:hAnsi="Calibri" w:cs="Calibri"/>
          <w:noProof/>
          <w:sz w:val="18"/>
          <w:szCs w:val="18"/>
        </w:rPr>
        <w:t>Gr</w:t>
      </w:r>
      <w:r w:rsidRPr="00355CF8">
        <w:rPr>
          <w:rFonts w:ascii="Calibri" w:hAnsi="Calibri" w:cs="Calibri"/>
          <w:noProof/>
          <w:sz w:val="18"/>
          <w:szCs w:val="18"/>
        </w:rPr>
        <w:t xml:space="preserve">antham-McGregor S, Cheung YB, Cueto S, Glewwe P, Richter L, Strupp B. Developmental potential in the first 5 years for children in developing countries. </w:t>
      </w:r>
      <w:r w:rsidRPr="00355CF8">
        <w:rPr>
          <w:rFonts w:ascii="Calibri" w:hAnsi="Calibri" w:cs="Calibri"/>
          <w:i/>
          <w:iCs/>
          <w:noProof/>
          <w:sz w:val="18"/>
          <w:szCs w:val="18"/>
        </w:rPr>
        <w:t>Lancet</w:t>
      </w:r>
      <w:r w:rsidRPr="00355CF8">
        <w:rPr>
          <w:rFonts w:ascii="Calibri" w:hAnsi="Calibri" w:cs="Calibri"/>
          <w:noProof/>
          <w:sz w:val="18"/>
          <w:szCs w:val="18"/>
        </w:rPr>
        <w:t>. 2007;369(9555):60-70. doi:10.1016/S0140-6736(07)60032-4</w:t>
      </w:r>
    </w:p>
  </w:footnote>
  <w:footnote w:id="214">
    <w:p w14:paraId="71A1A916" w14:textId="6149C07B"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Bloss E, Wainaina F, Bailey RC. Prevalence and predictors of underweight, stunting, and wasting among children aged 5 and under in western Kenya. </w:t>
      </w:r>
      <w:r w:rsidRPr="00355CF8">
        <w:rPr>
          <w:rFonts w:ascii="Calibri" w:hAnsi="Calibri" w:cs="Calibri"/>
          <w:i/>
          <w:iCs/>
          <w:noProof/>
          <w:sz w:val="18"/>
          <w:szCs w:val="18"/>
        </w:rPr>
        <w:t>J Trop Pediatr</w:t>
      </w:r>
      <w:r w:rsidRPr="00355CF8">
        <w:rPr>
          <w:rFonts w:ascii="Calibri" w:hAnsi="Calibri" w:cs="Calibri"/>
          <w:noProof/>
          <w:sz w:val="18"/>
          <w:szCs w:val="18"/>
        </w:rPr>
        <w:t>. 2004;50(5):260-270. doi:10.1093/TROPEJ/50.5.260</w:t>
      </w:r>
    </w:p>
  </w:footnote>
  <w:footnote w:id="215">
    <w:p w14:paraId="322BB374" w14:textId="1A00BA68" w:rsidR="00682502" w:rsidRDefault="00682502">
      <w:pPr>
        <w:pStyle w:val="FootnoteText"/>
      </w:pPr>
      <w:r w:rsidRPr="00682502">
        <w:rPr>
          <w:rStyle w:val="FootnoteReference"/>
        </w:rPr>
        <w:footnoteRef/>
      </w:r>
      <w:r>
        <w:t xml:space="preserve"> ibid</w:t>
      </w:r>
    </w:p>
  </w:footnote>
  <w:footnote w:id="216">
    <w:p w14:paraId="62CC30FD" w14:textId="33913422" w:rsidR="00682502" w:rsidRPr="008E7790" w:rsidRDefault="00682502" w:rsidP="008E7790">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Grace K, Verdin A, Brown M, Bakhtsiyarava M, David Backer ·, Billing · Trey. Conflict and Climate Factors and the Risk of Child Acute Malnutrition Among Children Aged 24–59 Months: A Comparative Analysis of Kenya, Nigeria, and Uganda. </w:t>
      </w:r>
      <w:r w:rsidRPr="00355CF8">
        <w:rPr>
          <w:rFonts w:ascii="Calibri" w:hAnsi="Calibri" w:cs="Calibri"/>
          <w:i/>
          <w:iCs/>
          <w:noProof/>
          <w:sz w:val="18"/>
          <w:szCs w:val="18"/>
        </w:rPr>
        <w:t>Spat Demogr 2022</w:t>
      </w:r>
      <w:r w:rsidRPr="00355CF8">
        <w:rPr>
          <w:rFonts w:ascii="Calibri" w:hAnsi="Calibri" w:cs="Calibri"/>
          <w:noProof/>
          <w:sz w:val="18"/>
          <w:szCs w:val="18"/>
        </w:rPr>
        <w:t>. Published online February 1, 2022:1-30. doi:10.1007/S40980-021-00102-W</w:t>
      </w:r>
    </w:p>
  </w:footnote>
  <w:footnote w:id="217">
    <w:p w14:paraId="60BCB7D7" w14:textId="70A76B56"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Grace K, Verdin A, Brown M, Bakhtsiyarava M, David Backer ·, Billing · Trey. Conflict and Climate Factors and the Risk of Child Acute Malnutrition Among Children Aged 24–59 Months: A Comparative Analysis of Kenya, Nigeria, and Uganda. </w:t>
      </w:r>
      <w:r w:rsidRPr="00355CF8">
        <w:rPr>
          <w:rFonts w:ascii="Calibri" w:hAnsi="Calibri" w:cs="Calibri"/>
          <w:i/>
          <w:iCs/>
          <w:noProof/>
          <w:sz w:val="18"/>
          <w:szCs w:val="18"/>
        </w:rPr>
        <w:t>Spat Demogr 2022</w:t>
      </w:r>
      <w:r w:rsidRPr="00355CF8">
        <w:rPr>
          <w:rFonts w:ascii="Calibri" w:hAnsi="Calibri" w:cs="Calibri"/>
          <w:noProof/>
          <w:sz w:val="18"/>
          <w:szCs w:val="18"/>
        </w:rPr>
        <w:t>. Published online February 1, 2022:1-30. doi:10.1007/S40980-021-00102-W</w:t>
      </w:r>
    </w:p>
  </w:footnote>
  <w:footnote w:id="218">
    <w:p w14:paraId="2A118A8C" w14:textId="20DE20C0"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219">
    <w:p w14:paraId="51B5831B" w14:textId="24971DC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Schmidt CW. Beyond malnutrition: The role of sanitation in stunted growth. </w:t>
      </w:r>
      <w:r w:rsidRPr="00355CF8">
        <w:rPr>
          <w:rFonts w:ascii="Calibri" w:hAnsi="Calibri" w:cs="Calibri"/>
          <w:i/>
          <w:iCs/>
          <w:noProof/>
          <w:sz w:val="18"/>
          <w:szCs w:val="18"/>
        </w:rPr>
        <w:t>Environ Health Perspect</w:t>
      </w:r>
      <w:r w:rsidRPr="00355CF8">
        <w:rPr>
          <w:rFonts w:ascii="Calibri" w:hAnsi="Calibri" w:cs="Calibri"/>
          <w:noProof/>
          <w:sz w:val="18"/>
          <w:szCs w:val="18"/>
        </w:rPr>
        <w:t>. 2014;122(11):A298-A303. doi:10.1289/EHP.122-A298</w:t>
      </w:r>
    </w:p>
  </w:footnote>
  <w:footnote w:id="220">
    <w:p w14:paraId="37B9F51F" w14:textId="47E7AA2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Cumming O, Cairncross S. Can water, sanitation and hygiene help eliminate stunting? Current evidence and policy implications. </w:t>
      </w:r>
      <w:r w:rsidRPr="00355CF8">
        <w:rPr>
          <w:rFonts w:ascii="Calibri" w:hAnsi="Calibri" w:cs="Calibri"/>
          <w:i/>
          <w:iCs/>
          <w:noProof/>
          <w:sz w:val="18"/>
          <w:szCs w:val="18"/>
        </w:rPr>
        <w:t>Matern Child Nutr</w:t>
      </w:r>
      <w:r w:rsidRPr="00355CF8">
        <w:rPr>
          <w:rFonts w:ascii="Calibri" w:hAnsi="Calibri" w:cs="Calibri"/>
          <w:noProof/>
          <w:sz w:val="18"/>
          <w:szCs w:val="18"/>
        </w:rPr>
        <w:t>. 2016;12:91-105. doi:10.1111/MCN.12258</w:t>
      </w:r>
    </w:p>
  </w:footnote>
  <w:footnote w:id="221">
    <w:p w14:paraId="0C4B0FA6" w14:textId="2E89D2D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Infant and young child feeding. Published June 9, 2021. Accessed February 16, 2022. https://www.who.int/news-room/fact-sheets/detail/infant-and-young-child-feeding</w:t>
      </w:r>
    </w:p>
  </w:footnote>
  <w:footnote w:id="222">
    <w:p w14:paraId="1F5C925F" w14:textId="7C5C477A" w:rsidR="00682502" w:rsidRDefault="00682502">
      <w:pPr>
        <w:pStyle w:val="FootnoteText"/>
      </w:pPr>
      <w:r w:rsidRPr="00682502">
        <w:rPr>
          <w:rStyle w:val="FootnoteReference"/>
        </w:rPr>
        <w:footnoteRef/>
      </w:r>
      <w:r>
        <w:t xml:space="preserve"> ibid</w:t>
      </w:r>
    </w:p>
  </w:footnote>
  <w:footnote w:id="223">
    <w:p w14:paraId="559A299E" w14:textId="07AFF59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224">
    <w:p w14:paraId="54B95A3C" w14:textId="002B3402" w:rsidR="00682502" w:rsidRDefault="00682502">
      <w:pPr>
        <w:pStyle w:val="FootnoteText"/>
      </w:pPr>
      <w:r w:rsidRPr="00682502">
        <w:rPr>
          <w:rStyle w:val="FootnoteReference"/>
        </w:rPr>
        <w:footnoteRef/>
      </w:r>
      <w:r>
        <w:t xml:space="preserve"> ibid</w:t>
      </w:r>
    </w:p>
  </w:footnote>
  <w:footnote w:id="225">
    <w:p w14:paraId="2F291B8F" w14:textId="3D703B8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Infant and young child feeding. </w:t>
      </w:r>
      <w:r>
        <w:rPr>
          <w:rFonts w:ascii="Calibri" w:hAnsi="Calibri" w:cs="Calibri"/>
          <w:noProof/>
          <w:sz w:val="18"/>
          <w:szCs w:val="18"/>
        </w:rPr>
        <w:t>Op. cit.</w:t>
      </w:r>
    </w:p>
  </w:footnote>
  <w:footnote w:id="226">
    <w:p w14:paraId="71C3266A" w14:textId="557593A0" w:rsidR="00682502" w:rsidRDefault="00682502">
      <w:pPr>
        <w:pStyle w:val="FootnoteText"/>
      </w:pPr>
      <w:r w:rsidRPr="00682502">
        <w:rPr>
          <w:rStyle w:val="FootnoteReference"/>
        </w:rPr>
        <w:footnoteRef/>
      </w:r>
      <w:r>
        <w:t xml:space="preserve"> ibid</w:t>
      </w:r>
    </w:p>
  </w:footnote>
  <w:footnote w:id="227">
    <w:p w14:paraId="036B3F84" w14:textId="50EB43C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228">
    <w:p w14:paraId="15BF036F" w14:textId="1651590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Ritchie H, Roser M. </w:t>
      </w:r>
      <w:r w:rsidRPr="00355CF8">
        <w:rPr>
          <w:rFonts w:ascii="Calibri" w:hAnsi="Calibri" w:cs="Calibri"/>
          <w:i/>
          <w:iCs/>
          <w:noProof/>
          <w:sz w:val="18"/>
          <w:szCs w:val="18"/>
        </w:rPr>
        <w:t>Micronutrient Deficiency</w:t>
      </w:r>
      <w:r w:rsidRPr="00355CF8">
        <w:rPr>
          <w:rFonts w:ascii="Calibri" w:hAnsi="Calibri" w:cs="Calibri"/>
          <w:noProof/>
          <w:sz w:val="18"/>
          <w:szCs w:val="18"/>
        </w:rPr>
        <w:t>.; 2017. Accessed February 24, 2022. https://ourworldindata.org/micronutrient-deficiency?utm_medium=syndication</w:t>
      </w:r>
    </w:p>
  </w:footnote>
  <w:footnote w:id="229">
    <w:p w14:paraId="5296404B" w14:textId="54BF6A17" w:rsidR="00682502" w:rsidRDefault="00682502">
      <w:pPr>
        <w:pStyle w:val="FootnoteText"/>
      </w:pPr>
      <w:r w:rsidRPr="00682502">
        <w:rPr>
          <w:rStyle w:val="FootnoteReference"/>
        </w:rPr>
        <w:footnoteRef/>
      </w:r>
      <w:r>
        <w:t xml:space="preserve"> ibid</w:t>
      </w:r>
    </w:p>
  </w:footnote>
  <w:footnote w:id="230">
    <w:p w14:paraId="4F3B4A29" w14:textId="09FC7CF2" w:rsidR="00682502" w:rsidRDefault="00682502">
      <w:pPr>
        <w:pStyle w:val="FootnoteText"/>
      </w:pPr>
      <w:r w:rsidRPr="00682502">
        <w:rPr>
          <w:rStyle w:val="FootnoteReference"/>
        </w:rPr>
        <w:footnoteRef/>
      </w:r>
      <w:r>
        <w:t xml:space="preserve"> ibid</w:t>
      </w:r>
    </w:p>
  </w:footnote>
  <w:footnote w:id="231">
    <w:p w14:paraId="04757833" w14:textId="5AC62FFF" w:rsidR="00682502" w:rsidRDefault="00682502">
      <w:pPr>
        <w:pStyle w:val="FootnoteText"/>
      </w:pPr>
      <w:r w:rsidRPr="00682502">
        <w:rPr>
          <w:rStyle w:val="FootnoteReference"/>
        </w:rPr>
        <w:footnoteRef/>
      </w:r>
      <w:r>
        <w:t xml:space="preserve"> ibid</w:t>
      </w:r>
    </w:p>
  </w:footnote>
  <w:footnote w:id="232">
    <w:p w14:paraId="38796F92" w14:textId="767DC79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World Bank. World Bank Indicators. Published online 2022. https://databank.worldbank.org/home.aspx</w:t>
      </w:r>
    </w:p>
  </w:footnote>
  <w:footnote w:id="233">
    <w:p w14:paraId="30B51C69" w14:textId="776404F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234">
    <w:p w14:paraId="7D4DEF45" w14:textId="130857A4" w:rsidR="00682502" w:rsidRDefault="00682502">
      <w:pPr>
        <w:pStyle w:val="FootnoteText"/>
      </w:pPr>
      <w:r w:rsidRPr="00682502">
        <w:rPr>
          <w:rStyle w:val="FootnoteReference"/>
        </w:rPr>
        <w:footnoteRef/>
      </w:r>
      <w:r>
        <w:t xml:space="preserve"> ibid</w:t>
      </w:r>
    </w:p>
  </w:footnote>
  <w:footnote w:id="235">
    <w:p w14:paraId="02F3A460" w14:textId="70463F92" w:rsidR="00682502" w:rsidRDefault="00682502">
      <w:pPr>
        <w:pStyle w:val="FootnoteText"/>
      </w:pPr>
      <w:r w:rsidRPr="00682502">
        <w:rPr>
          <w:rStyle w:val="FootnoteReference"/>
        </w:rPr>
        <w:footnoteRef/>
      </w:r>
      <w:r>
        <w:t xml:space="preserve"> ibid</w:t>
      </w:r>
    </w:p>
  </w:footnote>
  <w:footnote w:id="236">
    <w:p w14:paraId="47A952D4" w14:textId="0E2A541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World Bank. World Bank Indicators.</w:t>
      </w:r>
      <w:r>
        <w:rPr>
          <w:rFonts w:ascii="Calibri" w:hAnsi="Calibri" w:cs="Calibri"/>
          <w:noProof/>
          <w:sz w:val="18"/>
          <w:szCs w:val="18"/>
        </w:rPr>
        <w:t xml:space="preserve"> Op. cit.</w:t>
      </w:r>
    </w:p>
  </w:footnote>
  <w:footnote w:id="237">
    <w:p w14:paraId="26D2B2D5" w14:textId="1072D77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238">
    <w:p w14:paraId="094B4F72" w14:textId="38A5DB54" w:rsidR="00682502"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Kenya National Nutrition Action Plan 2018-2022</w:t>
      </w:r>
      <w:r w:rsidRPr="00355CF8">
        <w:rPr>
          <w:rFonts w:ascii="Calibri" w:hAnsi="Calibri" w:cs="Calibri"/>
          <w:noProof/>
          <w:sz w:val="18"/>
          <w:szCs w:val="18"/>
        </w:rPr>
        <w:t>.; 2018. Accessed February 16, 2022. https://www.health.go.ke/wp-content/uploads/2020/10/Kenya-Nutrition-Action-Plan-2018-2022-POPULAR-VERSION.pdf</w:t>
      </w:r>
    </w:p>
  </w:footnote>
  <w:footnote w:id="239">
    <w:p w14:paraId="0AFD01F3" w14:textId="39F05EFE" w:rsidR="00682502"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Kenya National Nutrition Action Plan 2018-2022</w:t>
      </w:r>
      <w:r w:rsidRPr="00355CF8">
        <w:rPr>
          <w:rFonts w:ascii="Calibri" w:hAnsi="Calibri" w:cs="Calibri"/>
          <w:noProof/>
          <w:sz w:val="18"/>
          <w:szCs w:val="18"/>
        </w:rPr>
        <w:t>.; 2018. Accessed February 16, 2022. https://www.health.go.ke/wp-content/uploads/2020/10/Kenya-Nutrition-Action-Plan-2018-2022-POPULAR-VERSION.pdf</w:t>
      </w:r>
    </w:p>
  </w:footnote>
  <w:footnote w:id="240">
    <w:p w14:paraId="1E16151C" w14:textId="6F9AF2C7" w:rsidR="00682502" w:rsidRPr="008E7790" w:rsidRDefault="00682502" w:rsidP="008E7790">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How the COVID-19 pandemic has scarred the world’s children | UNICEF. Accessed February 16, 2022. https://www.unicef.org/coronavirus/COVID-19-pandemic-scarred-world-children</w:t>
      </w:r>
    </w:p>
  </w:footnote>
  <w:footnote w:id="241">
    <w:p w14:paraId="4818FC53" w14:textId="0167C63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Osendarp S, Akuoku JK, Black RE, et al. The COVID-19 crisis will exacerbate maternal and child undernutrition and child mortality in low- and middle-income countries. </w:t>
      </w:r>
      <w:r w:rsidRPr="00355CF8">
        <w:rPr>
          <w:rFonts w:ascii="Calibri" w:hAnsi="Calibri" w:cs="Calibri"/>
          <w:i/>
          <w:iCs/>
          <w:noProof/>
          <w:sz w:val="18"/>
          <w:szCs w:val="18"/>
        </w:rPr>
        <w:t>Nat Food 2021 27</w:t>
      </w:r>
      <w:r w:rsidRPr="00355CF8">
        <w:rPr>
          <w:rFonts w:ascii="Calibri" w:hAnsi="Calibri" w:cs="Calibri"/>
          <w:noProof/>
          <w:sz w:val="18"/>
          <w:szCs w:val="18"/>
        </w:rPr>
        <w:t>. 2021;2(7):476-484. doi:10.1038/s43016-021-00319-4</w:t>
      </w:r>
    </w:p>
  </w:footnote>
  <w:footnote w:id="242">
    <w:p w14:paraId="2C6B73DE" w14:textId="003BD6AB" w:rsidR="00682502" w:rsidRDefault="00682502">
      <w:pPr>
        <w:pStyle w:val="FootnoteText"/>
      </w:pPr>
      <w:r w:rsidRPr="00682502">
        <w:rPr>
          <w:rStyle w:val="FootnoteReference"/>
        </w:rPr>
        <w:footnoteRef/>
      </w:r>
      <w:r>
        <w:t xml:space="preserve"> ibid</w:t>
      </w:r>
    </w:p>
  </w:footnote>
  <w:footnote w:id="243">
    <w:p w14:paraId="2CC87E5D" w14:textId="55605F9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World health Organization. Adolescent health. Accessed March 8, 2022. https://www.who.int/health-topics/adolescent-health#tab=tab_1</w:t>
      </w:r>
    </w:p>
  </w:footnote>
  <w:footnote w:id="244">
    <w:p w14:paraId="75438008" w14:textId="24AD734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Campisi SC, Carducci B, Söder O, Bhutta ZA. The Intricate Relationship between Chronic Undernutrition, Impaired Linear Growth and Delayed Puberty: Is “catch-up” growth possible during adolescence? </w:t>
      </w:r>
      <w:r w:rsidRPr="00355CF8">
        <w:rPr>
          <w:rFonts w:ascii="Calibri" w:hAnsi="Calibri" w:cs="Calibri"/>
          <w:i/>
          <w:iCs/>
          <w:noProof/>
          <w:sz w:val="18"/>
          <w:szCs w:val="18"/>
        </w:rPr>
        <w:t>UNICEF Innocenti</w:t>
      </w:r>
      <w:r w:rsidRPr="00355CF8">
        <w:rPr>
          <w:rFonts w:ascii="Calibri" w:hAnsi="Calibri" w:cs="Calibri"/>
          <w:noProof/>
          <w:sz w:val="18"/>
          <w:szCs w:val="18"/>
        </w:rPr>
        <w:t>. Published online 2018. Accessed March 8, 2022. www.unicef-irc.org</w:t>
      </w:r>
    </w:p>
  </w:footnote>
  <w:footnote w:id="245">
    <w:p w14:paraId="3CC44CAD" w14:textId="71102E05" w:rsidR="00682502"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Nutrition in Adolescence- Issues and Challenge for the Health Sector</w:t>
      </w:r>
      <w:r w:rsidRPr="00355CF8">
        <w:rPr>
          <w:rFonts w:ascii="Calibri" w:hAnsi="Calibri" w:cs="Calibri"/>
          <w:noProof/>
          <w:sz w:val="18"/>
          <w:szCs w:val="18"/>
        </w:rPr>
        <w:t>.; 2005.</w:t>
      </w:r>
    </w:p>
  </w:footnote>
  <w:footnote w:id="246">
    <w:p w14:paraId="7F25DE60" w14:textId="284C5AE7" w:rsidR="00682502" w:rsidRDefault="00682502">
      <w:pPr>
        <w:pStyle w:val="FootnoteText"/>
      </w:pPr>
      <w:r w:rsidRPr="00682502">
        <w:rPr>
          <w:rStyle w:val="FootnoteReference"/>
        </w:rPr>
        <w:footnoteRef/>
      </w:r>
      <w:r>
        <w:t xml:space="preserve"> ibid</w:t>
      </w:r>
    </w:p>
  </w:footnote>
  <w:footnote w:id="247">
    <w:p w14:paraId="707A3A4E" w14:textId="137EBF1D"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Adolescent Country Profile- Kenya</w:t>
      </w:r>
      <w:r w:rsidRPr="00355CF8">
        <w:rPr>
          <w:rFonts w:ascii="Calibri" w:hAnsi="Calibri" w:cs="Calibri"/>
          <w:noProof/>
          <w:sz w:val="18"/>
          <w:szCs w:val="18"/>
        </w:rPr>
        <w:t>. https://platform.who.int/data/maternal-newborn-child-adolescent-ageing/static-visualizations/adolescent-country-profile</w:t>
      </w:r>
    </w:p>
  </w:footnote>
  <w:footnote w:id="248">
    <w:p w14:paraId="5B1D514B" w14:textId="04CEC64A"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Bentham J, Di Cesare M, Bilano V, et al. Worldwide trends in body-mass index, underweight, overweight, and obesity from 1975 to 2016: a pooled analysis of 2416 population-based measurement studies in 128·9 million children, adolescents, and adults. </w:t>
      </w:r>
      <w:r w:rsidRPr="00355CF8">
        <w:rPr>
          <w:rFonts w:ascii="Calibri" w:hAnsi="Calibri" w:cs="Calibri"/>
          <w:i/>
          <w:iCs/>
          <w:noProof/>
          <w:sz w:val="18"/>
          <w:szCs w:val="18"/>
        </w:rPr>
        <w:t>Lancet</w:t>
      </w:r>
      <w:r w:rsidRPr="00355CF8">
        <w:rPr>
          <w:rFonts w:ascii="Calibri" w:hAnsi="Calibri" w:cs="Calibri"/>
          <w:noProof/>
          <w:sz w:val="18"/>
          <w:szCs w:val="18"/>
        </w:rPr>
        <w:t>. 2017;390(10113):2627-2642. doi:10.1016/S0140-6736(17)32129-3/ATTACHMENT/A71C66F4-AF6A-45CC-B74B-B320544FF826/MMC1.PDF</w:t>
      </w:r>
    </w:p>
  </w:footnote>
  <w:footnote w:id="249">
    <w:p w14:paraId="227EFBE4" w14:textId="08C7A0B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Bentham J, Di Cesare M, Bilano V, et al. Worldwide trends in body-mass index, underweight, overweight, and obesity from 1975 to 2016: a pooled analysis of 2416 population-based measurement studies in 128·9 million children, adolescents, and adults. </w:t>
      </w:r>
      <w:r w:rsidRPr="00355CF8">
        <w:rPr>
          <w:rFonts w:ascii="Calibri" w:hAnsi="Calibri" w:cs="Calibri"/>
          <w:i/>
          <w:iCs/>
          <w:noProof/>
          <w:sz w:val="18"/>
          <w:szCs w:val="18"/>
        </w:rPr>
        <w:t>Lancet</w:t>
      </w:r>
      <w:r w:rsidRPr="00355CF8">
        <w:rPr>
          <w:rFonts w:ascii="Calibri" w:hAnsi="Calibri" w:cs="Calibri"/>
          <w:noProof/>
          <w:sz w:val="18"/>
          <w:szCs w:val="18"/>
        </w:rPr>
        <w:t>. 2017;390(10113):2627-2642. doi:10.1016/S0140-6736(17)32129-3/ATTACHMENT/A71C66F4-AF6A-45CC-B74B-B320544FF826/MMC1.PDF</w:t>
      </w:r>
    </w:p>
  </w:footnote>
  <w:footnote w:id="250">
    <w:p w14:paraId="19E9BEBB" w14:textId="7FF833A7" w:rsidR="00682502" w:rsidRDefault="00682502">
      <w:pPr>
        <w:pStyle w:val="FootnoteText"/>
      </w:pPr>
      <w:r w:rsidRPr="00682502">
        <w:rPr>
          <w:rStyle w:val="FootnoteReference"/>
        </w:rPr>
        <w:footnoteRef/>
      </w:r>
      <w:r>
        <w:t xml:space="preserve"> ibid</w:t>
      </w:r>
    </w:p>
  </w:footnote>
  <w:footnote w:id="251">
    <w:p w14:paraId="61A2F32C" w14:textId="01B9306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Campisi SC, Carducci B, Söder O, Bhutta ZA. The Intricate Relationship between Chronic Undernutrition, Impaired Linear Growth and Delayed Puberty: Is “catch-up” growth possible during adolescence? </w:t>
      </w:r>
      <w:r w:rsidRPr="00355CF8">
        <w:rPr>
          <w:rFonts w:ascii="Calibri" w:hAnsi="Calibri" w:cs="Calibri"/>
          <w:i/>
          <w:iCs/>
          <w:noProof/>
          <w:sz w:val="18"/>
          <w:szCs w:val="18"/>
        </w:rPr>
        <w:t>UNICEF Innocenti</w:t>
      </w:r>
      <w:r w:rsidRPr="00355CF8">
        <w:rPr>
          <w:rFonts w:ascii="Calibri" w:hAnsi="Calibri" w:cs="Calibri"/>
          <w:noProof/>
          <w:sz w:val="18"/>
          <w:szCs w:val="18"/>
        </w:rPr>
        <w:t>. Published online 2018. Accessed March 8, 2022. www.unicef-irc.org</w:t>
      </w:r>
    </w:p>
  </w:footnote>
  <w:footnote w:id="252">
    <w:p w14:paraId="742786B4" w14:textId="279A6924" w:rsidR="00682502"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Nutrition in Adolescence- Issues and Challenge for the Health Sector</w:t>
      </w:r>
      <w:r w:rsidRPr="00355CF8">
        <w:rPr>
          <w:rFonts w:ascii="Calibri" w:hAnsi="Calibri" w:cs="Calibri"/>
          <w:noProof/>
          <w:sz w:val="18"/>
          <w:szCs w:val="18"/>
        </w:rPr>
        <w:t>.; 2005.</w:t>
      </w:r>
    </w:p>
  </w:footnote>
  <w:footnote w:id="253">
    <w:p w14:paraId="118A254B" w14:textId="068A8DB7"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Okiro EA, Joseph NK, Gitonga CW, Snow RW. Anaemia among Kenyan children: a call for improved monitoring and intervention in school-aged children. </w:t>
      </w:r>
      <w:r w:rsidRPr="00355CF8">
        <w:rPr>
          <w:rFonts w:ascii="Calibri" w:hAnsi="Calibri" w:cs="Calibri"/>
          <w:i/>
          <w:iCs/>
          <w:noProof/>
          <w:sz w:val="18"/>
          <w:szCs w:val="18"/>
        </w:rPr>
        <w:t>Trans R Soc Trop Med Hyg</w:t>
      </w:r>
      <w:r w:rsidRPr="00355CF8">
        <w:rPr>
          <w:rFonts w:ascii="Calibri" w:hAnsi="Calibri" w:cs="Calibri"/>
          <w:noProof/>
          <w:sz w:val="18"/>
          <w:szCs w:val="18"/>
        </w:rPr>
        <w:t>. 2020;114(8):627-631. doi:10.1093/TRSTMH/TRAA032</w:t>
      </w:r>
    </w:p>
  </w:footnote>
  <w:footnote w:id="254">
    <w:p w14:paraId="0D885D72" w14:textId="77ACFE47" w:rsidR="00682502" w:rsidRPr="008E7790"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Nutrition in Adolescence- Issues and Challenge for the Health Sector</w:t>
      </w:r>
      <w:r>
        <w:rPr>
          <w:rFonts w:ascii="Calibri" w:hAnsi="Calibri" w:cs="Calibri"/>
          <w:i/>
          <w:iCs/>
          <w:noProof/>
          <w:sz w:val="18"/>
          <w:szCs w:val="18"/>
        </w:rPr>
        <w:t xml:space="preserve"> </w:t>
      </w:r>
      <w:r>
        <w:rPr>
          <w:rFonts w:ascii="Calibri" w:hAnsi="Calibri" w:cs="Calibri"/>
          <w:iCs/>
          <w:noProof/>
          <w:sz w:val="18"/>
          <w:szCs w:val="18"/>
        </w:rPr>
        <w:t>op. cit.</w:t>
      </w:r>
    </w:p>
  </w:footnote>
  <w:footnote w:id="255">
    <w:p w14:paraId="267140A8" w14:textId="1E4634C4"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Campisi </w:t>
      </w:r>
      <w:r>
        <w:rPr>
          <w:rFonts w:ascii="Calibri" w:hAnsi="Calibri" w:cs="Calibri"/>
          <w:noProof/>
          <w:sz w:val="18"/>
          <w:szCs w:val="18"/>
        </w:rPr>
        <w:t>et al. Op. cit.</w:t>
      </w:r>
    </w:p>
  </w:footnote>
  <w:footnote w:id="256">
    <w:p w14:paraId="21D9F221" w14:textId="2943C3D7" w:rsidR="00682502" w:rsidRDefault="00682502">
      <w:pPr>
        <w:pStyle w:val="FootnoteText"/>
      </w:pPr>
      <w:r w:rsidRPr="00682502">
        <w:rPr>
          <w:rStyle w:val="FootnoteReference"/>
        </w:rPr>
        <w:footnoteRef/>
      </w:r>
      <w:r>
        <w:t xml:space="preserve"> ibid</w:t>
      </w:r>
    </w:p>
  </w:footnote>
  <w:footnote w:id="257">
    <w:p w14:paraId="05E855EE" w14:textId="7DE0CB09" w:rsidR="00682502" w:rsidRDefault="00682502">
      <w:pPr>
        <w:pStyle w:val="FootnoteText"/>
      </w:pPr>
      <w:r w:rsidRPr="00682502">
        <w:rPr>
          <w:rStyle w:val="FootnoteReference"/>
        </w:rPr>
        <w:footnoteRef/>
      </w:r>
      <w:r>
        <w:t xml:space="preserve"> K</w:t>
      </w:r>
      <w:r w:rsidRPr="00355CF8">
        <w:rPr>
          <w:rFonts w:ascii="Calibri" w:hAnsi="Calibri" w:cs="Calibri"/>
          <w:noProof/>
          <w:sz w:val="18"/>
          <w:szCs w:val="18"/>
        </w:rPr>
        <w:t xml:space="preserve">ay’s SK, Hindmarsh PC. Catch-up growth: an overview . </w:t>
      </w:r>
      <w:r w:rsidRPr="00355CF8">
        <w:rPr>
          <w:rFonts w:ascii="Calibri" w:hAnsi="Calibri" w:cs="Calibri"/>
          <w:i/>
          <w:iCs/>
          <w:noProof/>
          <w:sz w:val="18"/>
          <w:szCs w:val="18"/>
        </w:rPr>
        <w:t>Pediatr Endocrinol Rev</w:t>
      </w:r>
      <w:r w:rsidRPr="00355CF8">
        <w:rPr>
          <w:rFonts w:ascii="Calibri" w:hAnsi="Calibri" w:cs="Calibri"/>
          <w:noProof/>
          <w:sz w:val="18"/>
          <w:szCs w:val="18"/>
        </w:rPr>
        <w:t>. 2006;3(4):365-378. Accessed March 8, 2022. https://pubmed-ncbi-nlm-nih-gov.libproxy.lib.unc.edu/16816805/</w:t>
      </w:r>
    </w:p>
  </w:footnote>
  <w:footnote w:id="258">
    <w:p w14:paraId="50AA6E8C" w14:textId="477C7B9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Campisi </w:t>
      </w:r>
      <w:r>
        <w:rPr>
          <w:rFonts w:ascii="Calibri" w:hAnsi="Calibri" w:cs="Calibri"/>
          <w:noProof/>
          <w:sz w:val="18"/>
          <w:szCs w:val="18"/>
        </w:rPr>
        <w:t>et al. Op. cit.</w:t>
      </w:r>
    </w:p>
  </w:footnote>
  <w:footnote w:id="259">
    <w:p w14:paraId="5A907318" w14:textId="18A47737" w:rsidR="00682502" w:rsidRDefault="00682502">
      <w:pPr>
        <w:pStyle w:val="FootnoteText"/>
      </w:pPr>
      <w:r w:rsidRPr="00682502">
        <w:rPr>
          <w:rStyle w:val="FootnoteReference"/>
        </w:rPr>
        <w:footnoteRef/>
      </w:r>
      <w:r>
        <w:t xml:space="preserve"> Kay’s et al. Op. cit.</w:t>
      </w:r>
    </w:p>
  </w:footnote>
  <w:footnote w:id="260">
    <w:p w14:paraId="200881CD" w14:textId="093B81C9" w:rsidR="00682502" w:rsidRDefault="00682502">
      <w:pPr>
        <w:pStyle w:val="FootnoteText"/>
      </w:pPr>
      <w:r w:rsidRPr="00682502">
        <w:rPr>
          <w:rStyle w:val="FootnoteReference"/>
        </w:rPr>
        <w:footnoteRef/>
      </w:r>
      <w:r>
        <w:t xml:space="preserve"> </w:t>
      </w:r>
      <w:r w:rsidRPr="00355CF8">
        <w:rPr>
          <w:rFonts w:ascii="Calibri" w:hAnsi="Calibri" w:cs="Calibri"/>
          <w:i/>
          <w:iCs/>
          <w:noProof/>
          <w:sz w:val="18"/>
          <w:szCs w:val="18"/>
        </w:rPr>
        <w:t>Nutrition in Adolescence- Issues and Challenge for the Health Sector</w:t>
      </w:r>
      <w:r w:rsidRPr="00355CF8">
        <w:rPr>
          <w:rFonts w:ascii="Calibri" w:hAnsi="Calibri" w:cs="Calibri"/>
          <w:noProof/>
          <w:sz w:val="18"/>
          <w:szCs w:val="18"/>
        </w:rPr>
        <w:t>.; 2005.</w:t>
      </w:r>
    </w:p>
  </w:footnote>
  <w:footnote w:id="261">
    <w:p w14:paraId="42060A5A" w14:textId="53A8A962" w:rsidR="00682502" w:rsidRDefault="00682502">
      <w:pPr>
        <w:pStyle w:val="FootnoteText"/>
      </w:pPr>
      <w:r w:rsidRPr="00682502">
        <w:rPr>
          <w:rStyle w:val="FootnoteReference"/>
        </w:rPr>
        <w:footnoteRef/>
      </w:r>
      <w:r>
        <w:t xml:space="preserve"> ibid</w:t>
      </w:r>
    </w:p>
  </w:footnote>
  <w:footnote w:id="262">
    <w:p w14:paraId="5427E7EC" w14:textId="11A1C4E8" w:rsidR="00682502" w:rsidRDefault="00682502">
      <w:pPr>
        <w:pStyle w:val="FootnoteText"/>
      </w:pPr>
      <w:r w:rsidRPr="00682502">
        <w:rPr>
          <w:rStyle w:val="FootnoteReference"/>
        </w:rPr>
        <w:footnoteRef/>
      </w:r>
      <w:r>
        <w:t xml:space="preserve"> ibid</w:t>
      </w:r>
    </w:p>
  </w:footnote>
  <w:footnote w:id="263">
    <w:p w14:paraId="092D9EA0" w14:textId="290AC6A1" w:rsidR="00682502" w:rsidRDefault="00682502">
      <w:pPr>
        <w:pStyle w:val="FootnoteText"/>
      </w:pPr>
      <w:r w:rsidRPr="00682502">
        <w:rPr>
          <w:rStyle w:val="FootnoteReference"/>
        </w:rPr>
        <w:footnoteRef/>
      </w:r>
      <w:r>
        <w:t xml:space="preserve"> ibid</w:t>
      </w:r>
    </w:p>
  </w:footnote>
  <w:footnote w:id="264">
    <w:p w14:paraId="5BAF570A" w14:textId="7F717A0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Nutrition During Pregnancy | Johns Hopkins Medicine. Accessed March 20, 2022. https://www.hopkinsmedicine.org/health/wellness-and-prevention/nutrition-during-pregnancy</w:t>
      </w:r>
    </w:p>
  </w:footnote>
  <w:footnote w:id="265">
    <w:p w14:paraId="573B559D" w14:textId="19DDA4B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Maternal Diet | Breastfeeding | CDC. Accessed March 20, 2022. https://www.cdc.gov/breastfeeding/breastfeeding-special-circumstances/diet-and-micronutrients/maternal-diet.html</w:t>
      </w:r>
    </w:p>
  </w:footnote>
  <w:footnote w:id="266">
    <w:p w14:paraId="6D0B4931" w14:textId="4029B30D"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267">
    <w:p w14:paraId="633FCE46" w14:textId="1F181FDB" w:rsidR="00682502" w:rsidRDefault="00682502">
      <w:pPr>
        <w:pStyle w:val="FootnoteText"/>
      </w:pPr>
      <w:r w:rsidRPr="00682502">
        <w:rPr>
          <w:rStyle w:val="FootnoteReference"/>
        </w:rPr>
        <w:footnoteRef/>
      </w:r>
      <w:r>
        <w:t xml:space="preserve"> ibid</w:t>
      </w:r>
    </w:p>
  </w:footnote>
  <w:footnote w:id="268">
    <w:p w14:paraId="1759853C" w14:textId="5A0AF6FE" w:rsidR="00682502" w:rsidRDefault="00682502">
      <w:pPr>
        <w:pStyle w:val="FootnoteText"/>
      </w:pPr>
      <w:r w:rsidRPr="00682502">
        <w:rPr>
          <w:rStyle w:val="FootnoteReference"/>
        </w:rPr>
        <w:footnoteRef/>
      </w:r>
      <w:r>
        <w:t xml:space="preserve"> ibid</w:t>
      </w:r>
    </w:p>
  </w:footnote>
  <w:footnote w:id="269">
    <w:p w14:paraId="60CD0376" w14:textId="032234B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World Bank. World Bank Indicators. Published online 2022. https://databank.worldbank.org/home.aspx</w:t>
      </w:r>
    </w:p>
  </w:footnote>
  <w:footnote w:id="270">
    <w:p w14:paraId="28DCE80A" w14:textId="1DD5853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271">
    <w:p w14:paraId="3D77A9A7" w14:textId="4DC1E44F" w:rsidR="00682502" w:rsidRDefault="00682502">
      <w:pPr>
        <w:pStyle w:val="FootnoteText"/>
      </w:pPr>
      <w:r w:rsidRPr="00682502">
        <w:rPr>
          <w:rStyle w:val="FootnoteReference"/>
        </w:rPr>
        <w:footnoteRef/>
      </w:r>
      <w:r>
        <w:t xml:space="preserve"> ibid</w:t>
      </w:r>
    </w:p>
  </w:footnote>
  <w:footnote w:id="272">
    <w:p w14:paraId="6E6A158A" w14:textId="7A02DA4D" w:rsidR="00682502" w:rsidRDefault="00682502">
      <w:pPr>
        <w:pStyle w:val="FootnoteText"/>
      </w:pPr>
      <w:r w:rsidRPr="00682502">
        <w:rPr>
          <w:rStyle w:val="FootnoteReference"/>
        </w:rPr>
        <w:footnoteRef/>
      </w:r>
      <w:r>
        <w:t xml:space="preserve"> ibid</w:t>
      </w:r>
    </w:p>
  </w:footnote>
  <w:footnote w:id="273">
    <w:p w14:paraId="23C2E671" w14:textId="1C4A2F3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Ritchie H, Roser M. </w:t>
      </w:r>
      <w:r w:rsidRPr="00355CF8">
        <w:rPr>
          <w:rFonts w:ascii="Calibri" w:hAnsi="Calibri" w:cs="Calibri"/>
          <w:i/>
          <w:iCs/>
          <w:noProof/>
          <w:sz w:val="18"/>
          <w:szCs w:val="18"/>
        </w:rPr>
        <w:t>Micronutrient Deficiency</w:t>
      </w:r>
      <w:r w:rsidRPr="00355CF8">
        <w:rPr>
          <w:rFonts w:ascii="Calibri" w:hAnsi="Calibri" w:cs="Calibri"/>
          <w:noProof/>
          <w:sz w:val="18"/>
          <w:szCs w:val="18"/>
        </w:rPr>
        <w:t>.; 2017. Accessed February 24, 2022. https://ourworldindata.org/micronutrient-deficiency?utm_medium=syndication</w:t>
      </w:r>
    </w:p>
  </w:footnote>
  <w:footnote w:id="274">
    <w:p w14:paraId="2599EE6A" w14:textId="7B3923A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w:t>
      </w:r>
      <w:r>
        <w:rPr>
          <w:rFonts w:ascii="Calibri" w:hAnsi="Calibri" w:cs="Calibri"/>
          <w:noProof/>
          <w:sz w:val="18"/>
          <w:szCs w:val="18"/>
        </w:rPr>
        <w:t xml:space="preserve"> op. cit.</w:t>
      </w:r>
    </w:p>
  </w:footnote>
  <w:footnote w:id="275">
    <w:p w14:paraId="557D00A9" w14:textId="7568F28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Othoo D, Waudo J, Kuria E. Dietary assessment of vitamin A and Iron among pregnant women at Ndhiwa Sub District Hospital – Kenya. </w:t>
      </w:r>
      <w:r w:rsidRPr="00355CF8">
        <w:rPr>
          <w:rFonts w:ascii="Calibri" w:hAnsi="Calibri" w:cs="Calibri"/>
          <w:i/>
          <w:iCs/>
          <w:noProof/>
          <w:sz w:val="18"/>
          <w:szCs w:val="18"/>
        </w:rPr>
        <w:t>African J Food, Agric Nutr Dev</w:t>
      </w:r>
      <w:r w:rsidRPr="00355CF8">
        <w:rPr>
          <w:rFonts w:ascii="Calibri" w:hAnsi="Calibri" w:cs="Calibri"/>
          <w:noProof/>
          <w:sz w:val="18"/>
          <w:szCs w:val="18"/>
        </w:rPr>
        <w:t>. 2014;14(5):2114-2128. doi:10.4314/ajfand.v14i5.</w:t>
      </w:r>
    </w:p>
  </w:footnote>
  <w:footnote w:id="276">
    <w:p w14:paraId="7D3F611B" w14:textId="6794A98C"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Global Progress Report on HIV, Viral Hepatitis and Sexually Transmitted Infections, 2021</w:t>
      </w:r>
      <w:r w:rsidRPr="00355CF8">
        <w:rPr>
          <w:rFonts w:ascii="Calibri" w:hAnsi="Calibri" w:cs="Calibri"/>
          <w:noProof/>
          <w:sz w:val="18"/>
          <w:szCs w:val="18"/>
        </w:rPr>
        <w:t>.; 2021. Accessed April 4, 2022. https://www.who.int/publications/i/item/9789240027077</w:t>
      </w:r>
    </w:p>
  </w:footnote>
  <w:footnote w:id="277">
    <w:p w14:paraId="2BEAE5B6" w14:textId="422C1153" w:rsidR="00682502" w:rsidRDefault="00682502">
      <w:pPr>
        <w:pStyle w:val="FootnoteText"/>
      </w:pPr>
      <w:r w:rsidRPr="00682502">
        <w:rPr>
          <w:rStyle w:val="FootnoteReference"/>
        </w:rPr>
        <w:footnoteRef/>
      </w:r>
      <w:r>
        <w:t xml:space="preserve"> ibid</w:t>
      </w:r>
    </w:p>
  </w:footnote>
  <w:footnote w:id="278">
    <w:p w14:paraId="5FD4C627" w14:textId="180C2F35" w:rsidR="00682502" w:rsidRDefault="00682502">
      <w:pPr>
        <w:pStyle w:val="FootnoteText"/>
      </w:pPr>
      <w:r w:rsidRPr="00682502">
        <w:rPr>
          <w:rStyle w:val="FootnoteReference"/>
        </w:rPr>
        <w:footnoteRef/>
      </w:r>
      <w:r>
        <w:t xml:space="preserve"> ibid</w:t>
      </w:r>
    </w:p>
  </w:footnote>
  <w:footnote w:id="279">
    <w:p w14:paraId="74F09F55" w14:textId="16FE9622" w:rsidR="00682502" w:rsidRDefault="00682502">
      <w:pPr>
        <w:pStyle w:val="FootnoteText"/>
      </w:pPr>
      <w:r w:rsidRPr="00682502">
        <w:rPr>
          <w:rStyle w:val="FootnoteReference"/>
        </w:rPr>
        <w:footnoteRef/>
      </w:r>
      <w:r>
        <w:t xml:space="preserve"> </w:t>
      </w:r>
      <w:r>
        <w:rPr>
          <w:rFonts w:ascii="Calibri" w:hAnsi="Calibri" w:cs="Calibri"/>
          <w:noProof/>
          <w:sz w:val="18"/>
          <w:szCs w:val="18"/>
        </w:rPr>
        <w:t>Ke</w:t>
      </w:r>
      <w:r w:rsidRPr="00355CF8">
        <w:rPr>
          <w:rFonts w:ascii="Calibri" w:hAnsi="Calibri" w:cs="Calibri"/>
          <w:noProof/>
          <w:sz w:val="18"/>
          <w:szCs w:val="18"/>
        </w:rPr>
        <w:t xml:space="preserve">nya National AIDS Control Council. </w:t>
      </w:r>
      <w:r w:rsidRPr="00355CF8">
        <w:rPr>
          <w:rFonts w:ascii="Calibri" w:hAnsi="Calibri" w:cs="Calibri"/>
          <w:i/>
          <w:iCs/>
          <w:noProof/>
          <w:sz w:val="18"/>
          <w:szCs w:val="18"/>
        </w:rPr>
        <w:t>Kenya HIV Estimates Report 2018</w:t>
      </w:r>
      <w:r w:rsidRPr="00355CF8">
        <w:rPr>
          <w:rFonts w:ascii="Calibri" w:hAnsi="Calibri" w:cs="Calibri"/>
          <w:noProof/>
          <w:sz w:val="18"/>
          <w:szCs w:val="18"/>
        </w:rPr>
        <w:t>.; 2018.</w:t>
      </w:r>
    </w:p>
  </w:footnote>
  <w:footnote w:id="280">
    <w:p w14:paraId="0238F240" w14:textId="34F5256F" w:rsidR="00682502" w:rsidRDefault="00682502">
      <w:pPr>
        <w:pStyle w:val="FootnoteText"/>
      </w:pPr>
      <w:r w:rsidRPr="00682502">
        <w:rPr>
          <w:rStyle w:val="FootnoteReference"/>
        </w:rPr>
        <w:footnoteRef/>
      </w:r>
      <w:r>
        <w:t xml:space="preserve"> ibid</w:t>
      </w:r>
    </w:p>
  </w:footnote>
  <w:footnote w:id="281">
    <w:p w14:paraId="7F0DCC2C" w14:textId="16294073" w:rsidR="00682502" w:rsidRDefault="00682502">
      <w:pPr>
        <w:pStyle w:val="FootnoteText"/>
      </w:pPr>
      <w:r w:rsidRPr="00682502">
        <w:rPr>
          <w:rStyle w:val="FootnoteReference"/>
        </w:rPr>
        <w:footnoteRef/>
      </w:r>
      <w:r>
        <w:t xml:space="preserve"> ibid</w:t>
      </w:r>
    </w:p>
  </w:footnote>
  <w:footnote w:id="282">
    <w:p w14:paraId="029D7092" w14:textId="65D93F57" w:rsidR="00682502" w:rsidRDefault="00682502">
      <w:pPr>
        <w:pStyle w:val="FootnoteText"/>
      </w:pPr>
      <w:r w:rsidRPr="00682502">
        <w:rPr>
          <w:rStyle w:val="FootnoteReference"/>
        </w:rPr>
        <w:footnoteRef/>
      </w:r>
      <w:r>
        <w:t xml:space="preserve"> ibid</w:t>
      </w:r>
    </w:p>
  </w:footnote>
  <w:footnote w:id="283">
    <w:p w14:paraId="2BE48031" w14:textId="54117271"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UNAIDS. </w:t>
      </w:r>
      <w:r w:rsidRPr="00355CF8">
        <w:rPr>
          <w:rFonts w:ascii="Calibri" w:hAnsi="Calibri" w:cs="Calibri"/>
          <w:i/>
          <w:iCs/>
          <w:noProof/>
          <w:sz w:val="18"/>
          <w:szCs w:val="18"/>
        </w:rPr>
        <w:t>90-90-90. An Ambitious Treatment Target to Help End the AIDS Epidemic</w:t>
      </w:r>
      <w:r w:rsidRPr="00355CF8">
        <w:rPr>
          <w:rFonts w:ascii="Calibri" w:hAnsi="Calibri" w:cs="Calibri"/>
          <w:noProof/>
          <w:sz w:val="18"/>
          <w:szCs w:val="18"/>
        </w:rPr>
        <w:t>.; 2014.</w:t>
      </w:r>
    </w:p>
  </w:footnote>
  <w:footnote w:id="284">
    <w:p w14:paraId="5264BCCD" w14:textId="7BC486A5" w:rsidR="00682502" w:rsidRDefault="00682502">
      <w:pPr>
        <w:pStyle w:val="FootnoteText"/>
      </w:pPr>
      <w:r w:rsidRPr="00682502">
        <w:rPr>
          <w:rStyle w:val="FootnoteReference"/>
        </w:rPr>
        <w:footnoteRef/>
      </w:r>
      <w:r>
        <w:t xml:space="preserve"> </w:t>
      </w:r>
      <w:r>
        <w:rPr>
          <w:rFonts w:ascii="Calibri" w:hAnsi="Calibri" w:cs="Calibri"/>
          <w:noProof/>
          <w:sz w:val="18"/>
          <w:szCs w:val="18"/>
        </w:rPr>
        <w:t>Ke</w:t>
      </w:r>
      <w:r w:rsidRPr="00355CF8">
        <w:rPr>
          <w:rFonts w:ascii="Calibri" w:hAnsi="Calibri" w:cs="Calibri"/>
          <w:noProof/>
          <w:sz w:val="18"/>
          <w:szCs w:val="18"/>
        </w:rPr>
        <w:t>nya National AIDS Control Council.</w:t>
      </w:r>
      <w:r>
        <w:rPr>
          <w:rFonts w:ascii="Calibri" w:hAnsi="Calibri" w:cs="Calibri"/>
          <w:noProof/>
          <w:sz w:val="18"/>
          <w:szCs w:val="18"/>
        </w:rPr>
        <w:t xml:space="preserve"> Op. cit.</w:t>
      </w:r>
    </w:p>
  </w:footnote>
  <w:footnote w:id="285">
    <w:p w14:paraId="4FD4C2CE" w14:textId="7DF5796F" w:rsidR="00682502" w:rsidRDefault="00682502">
      <w:pPr>
        <w:pStyle w:val="FootnoteText"/>
      </w:pPr>
      <w:r w:rsidRPr="00682502">
        <w:rPr>
          <w:rStyle w:val="FootnoteReference"/>
        </w:rPr>
        <w:footnoteRef/>
      </w:r>
      <w:r>
        <w:t xml:space="preserve"> ibid</w:t>
      </w:r>
    </w:p>
  </w:footnote>
  <w:footnote w:id="286">
    <w:p w14:paraId="43CAF34D" w14:textId="021262C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Moyo S, Young PW, Gouws E, et al. Equity of antiretroviral treatment use in high HIV burden countries: Analyses of data from nationally-representative surveys in Kenya and South Africa. </w:t>
      </w:r>
      <w:r w:rsidRPr="00355CF8">
        <w:rPr>
          <w:rFonts w:ascii="Calibri" w:hAnsi="Calibri" w:cs="Calibri"/>
          <w:i/>
          <w:iCs/>
          <w:noProof/>
          <w:sz w:val="18"/>
          <w:szCs w:val="18"/>
        </w:rPr>
        <w:t>PLoS One</w:t>
      </w:r>
      <w:r w:rsidRPr="00355CF8">
        <w:rPr>
          <w:rFonts w:ascii="Calibri" w:hAnsi="Calibri" w:cs="Calibri"/>
          <w:noProof/>
          <w:sz w:val="18"/>
          <w:szCs w:val="18"/>
        </w:rPr>
        <w:t>. 2018;13(8). doi:10.1371/JOURNAL.PONE.0201899</w:t>
      </w:r>
    </w:p>
  </w:footnote>
  <w:footnote w:id="287">
    <w:p w14:paraId="42450C08" w14:textId="67A16A8E"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Pre-Exposure Prophylaxis (PrEP) | HIV Risk and Prevention | HIV/AIDS | CDC. Accessed April 6, 2022. https://www.cdc.gov/hiv/risk/prep/index.html</w:t>
      </w:r>
    </w:p>
  </w:footnote>
  <w:footnote w:id="288">
    <w:p w14:paraId="290DBFC0" w14:textId="0E06B25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Kenya Ministry of Health. </w:t>
      </w:r>
      <w:r w:rsidRPr="00355CF8">
        <w:rPr>
          <w:rFonts w:ascii="Calibri" w:hAnsi="Calibri" w:cs="Calibri"/>
          <w:i/>
          <w:iCs/>
          <w:noProof/>
          <w:sz w:val="18"/>
          <w:szCs w:val="18"/>
        </w:rPr>
        <w:t>Framework for the Implementation of Pre-Exposure Prophylaxis of HIV in Kenya</w:t>
      </w:r>
      <w:r w:rsidRPr="00355CF8">
        <w:rPr>
          <w:rFonts w:ascii="Calibri" w:hAnsi="Calibri" w:cs="Calibri"/>
          <w:noProof/>
          <w:sz w:val="18"/>
          <w:szCs w:val="18"/>
        </w:rPr>
        <w:t>.; 2017.</w:t>
      </w:r>
    </w:p>
  </w:footnote>
  <w:footnote w:id="289">
    <w:p w14:paraId="10FF5C44" w14:textId="3742DF45"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Irungu EM, Mugwanya KK, Mugo NR, et al. Integration of pre-exposure prophylaxis services into public HIV care clinics in Kenya: a pragmatic stepped-wedge randomised trial. </w:t>
      </w:r>
      <w:r w:rsidRPr="00355CF8">
        <w:rPr>
          <w:rFonts w:ascii="Calibri" w:hAnsi="Calibri" w:cs="Calibri"/>
          <w:i/>
          <w:iCs/>
          <w:noProof/>
          <w:sz w:val="18"/>
          <w:szCs w:val="18"/>
        </w:rPr>
        <w:t>Lancet Glob Heal</w:t>
      </w:r>
      <w:r w:rsidRPr="00355CF8">
        <w:rPr>
          <w:rFonts w:ascii="Calibri" w:hAnsi="Calibri" w:cs="Calibri"/>
          <w:noProof/>
          <w:sz w:val="18"/>
          <w:szCs w:val="18"/>
        </w:rPr>
        <w:t>. 2021;9(12):e1730-e1739. doi:10.1016/S2214-109X(21)00391-0/ATTACHMENT/4C0C77B6-59C3-4E9D-A375-9225CC8FFCDA/MMC1.PDF</w:t>
      </w:r>
    </w:p>
  </w:footnote>
  <w:footnote w:id="290">
    <w:p w14:paraId="03DADFBF" w14:textId="2EF8A354" w:rsidR="00682502" w:rsidRPr="005E49F1" w:rsidRDefault="00682502" w:rsidP="005E49F1">
      <w:pPr>
        <w:widowControl w:val="0"/>
        <w:autoSpaceDE w:val="0"/>
        <w:autoSpaceDN w:val="0"/>
        <w:adjustRightInd w:val="0"/>
        <w:ind w:left="640" w:hanging="640"/>
        <w:rPr>
          <w:rFonts w:ascii="Calibri" w:hAnsi="Calibri" w:cs="Calibri"/>
          <w:noProof/>
          <w:sz w:val="18"/>
          <w:szCs w:val="18"/>
        </w:rPr>
      </w:pPr>
      <w:r w:rsidRPr="00682502">
        <w:rPr>
          <w:rStyle w:val="FootnoteReference"/>
        </w:rPr>
        <w:footnoteRef/>
      </w:r>
      <w:r>
        <w:t xml:space="preserve"> </w:t>
      </w:r>
      <w:r w:rsidRPr="00355CF8">
        <w:rPr>
          <w:rFonts w:ascii="Calibri" w:hAnsi="Calibri" w:cs="Calibri"/>
          <w:noProof/>
          <w:sz w:val="18"/>
          <w:szCs w:val="18"/>
        </w:rPr>
        <w:t xml:space="preserve">Pintye J, Kinuthia J, Allen Roberts D, et al. Brief Report: Integration of PrEP Services Into Routine Antenatal and Postnatal Care: Experiences From an Implementation Program in Western Kenya. </w:t>
      </w:r>
      <w:r w:rsidRPr="00355CF8">
        <w:rPr>
          <w:rFonts w:ascii="Calibri" w:hAnsi="Calibri" w:cs="Calibri"/>
          <w:i/>
          <w:iCs/>
          <w:noProof/>
          <w:sz w:val="18"/>
          <w:szCs w:val="18"/>
        </w:rPr>
        <w:t>J Acquir Immune Defic Syndr</w:t>
      </w:r>
      <w:r w:rsidRPr="00355CF8">
        <w:rPr>
          <w:rFonts w:ascii="Calibri" w:hAnsi="Calibri" w:cs="Calibri"/>
          <w:noProof/>
          <w:sz w:val="18"/>
          <w:szCs w:val="18"/>
        </w:rPr>
        <w:t>. 2018;79(5):590-595. doi:10.1097/QAI.0000000000001850</w:t>
      </w:r>
    </w:p>
  </w:footnote>
  <w:footnote w:id="291">
    <w:p w14:paraId="78C07364" w14:textId="4FBC5976" w:rsidR="00682502" w:rsidRDefault="00682502">
      <w:pPr>
        <w:pStyle w:val="FootnoteText"/>
      </w:pPr>
      <w:r w:rsidRPr="00682502">
        <w:rPr>
          <w:rStyle w:val="FootnoteReference"/>
        </w:rPr>
        <w:footnoteRef/>
      </w:r>
      <w:r>
        <w:t xml:space="preserve"> ibid</w:t>
      </w:r>
    </w:p>
  </w:footnote>
  <w:footnote w:id="292">
    <w:p w14:paraId="43FDD3FA" w14:textId="239C220D"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 Available from https://vizhub.healthdata.org/gbd-compare/ (Accessed Feb 28, 2022).</w:t>
      </w:r>
    </w:p>
  </w:footnote>
  <w:footnote w:id="293">
    <w:p w14:paraId="375C17F0" w14:textId="6C22FE98" w:rsidR="00682502" w:rsidRDefault="00682502">
      <w:pPr>
        <w:pStyle w:val="FootnoteText"/>
      </w:pPr>
      <w:r w:rsidRPr="00682502">
        <w:rPr>
          <w:rStyle w:val="FootnoteReference"/>
        </w:rPr>
        <w:footnoteRef/>
      </w:r>
      <w:r>
        <w:t xml:space="preserve"> ibid</w:t>
      </w:r>
    </w:p>
  </w:footnote>
  <w:footnote w:id="294">
    <w:p w14:paraId="029D9CE7" w14:textId="3BCC286F" w:rsidR="00682502" w:rsidRDefault="00682502">
      <w:pPr>
        <w:pStyle w:val="FootnoteText"/>
      </w:pPr>
      <w:r w:rsidRPr="00682502">
        <w:rPr>
          <w:rStyle w:val="FootnoteReference"/>
        </w:rPr>
        <w:footnoteRef/>
      </w:r>
      <w:r>
        <w:t xml:space="preserve"> ibid</w:t>
      </w:r>
    </w:p>
  </w:footnote>
  <w:footnote w:id="295">
    <w:p w14:paraId="564A3BDD" w14:textId="09965D12"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National Bureau of Statistics Nairobi K. Republic of Kenya Kenya Demographic and Health Survey 2014. Published online 2015. Accessed February 16, 2022. www.DHSprogram.com.</w:t>
      </w:r>
    </w:p>
  </w:footnote>
  <w:footnote w:id="296">
    <w:p w14:paraId="2984D6A4" w14:textId="2575264F"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 xml:space="preserve">World Health Organization. </w:t>
      </w:r>
      <w:r w:rsidRPr="00355CF8">
        <w:rPr>
          <w:rFonts w:ascii="Calibri" w:hAnsi="Calibri" w:cs="Calibri"/>
          <w:i/>
          <w:iCs/>
          <w:noProof/>
          <w:sz w:val="18"/>
          <w:szCs w:val="18"/>
        </w:rPr>
        <w:t>The Global Health Observatory- Stillbirth Rate (per 1000 Total Births)</w:t>
      </w:r>
      <w:r w:rsidRPr="00355CF8">
        <w:rPr>
          <w:rFonts w:ascii="Calibri" w:hAnsi="Calibri" w:cs="Calibri"/>
          <w:noProof/>
          <w:sz w:val="18"/>
          <w:szCs w:val="18"/>
        </w:rPr>
        <w:t>.; 2020. Accessed March 20, 2022. https://www.who.int/data/gho/data/indicators/indicator-details/GHO/stillbirth-rate-(per-1000-total-births)</w:t>
      </w:r>
    </w:p>
  </w:footnote>
  <w:footnote w:id="297">
    <w:p w14:paraId="26E8CDF6" w14:textId="34068733"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w:t>
      </w:r>
      <w:r>
        <w:rPr>
          <w:rFonts w:ascii="Calibri" w:hAnsi="Calibri" w:cs="Calibri"/>
          <w:noProof/>
          <w:sz w:val="18"/>
          <w:szCs w:val="18"/>
        </w:rPr>
        <w:t xml:space="preserve"> Op. cit.</w:t>
      </w:r>
    </w:p>
  </w:footnote>
  <w:footnote w:id="298">
    <w:p w14:paraId="21103DC1" w14:textId="1808A818" w:rsidR="00682502" w:rsidRDefault="00682502">
      <w:pPr>
        <w:pStyle w:val="FootnoteText"/>
      </w:pPr>
      <w:r w:rsidRPr="00682502">
        <w:rPr>
          <w:rStyle w:val="FootnoteReference"/>
        </w:rPr>
        <w:footnoteRef/>
      </w:r>
      <w:r>
        <w:t xml:space="preserve"> </w:t>
      </w:r>
      <w:r w:rsidRPr="00355CF8">
        <w:rPr>
          <w:rFonts w:ascii="Calibri" w:hAnsi="Calibri" w:cs="Calibri"/>
          <w:noProof/>
          <w:sz w:val="18"/>
          <w:szCs w:val="18"/>
        </w:rPr>
        <w:t>Institute for Health Metrics and Evaluation (IHME). GBD Compare. Seattle, WA: IHME University of Washington, 2019. Available from https://vizhub.healthdata.org/gbd-compare/ (Accessed Feb 28, 2022).</w:t>
      </w:r>
    </w:p>
  </w:footnote>
  <w:footnote w:id="299">
    <w:p w14:paraId="519C4ECD" w14:textId="6AFA0867" w:rsidR="00682502" w:rsidRDefault="00682502">
      <w:pPr>
        <w:pStyle w:val="FootnoteText"/>
      </w:pPr>
      <w:r w:rsidRPr="00682502">
        <w:rPr>
          <w:rStyle w:val="FootnoteReference"/>
        </w:rPr>
        <w:footnoteRef/>
      </w:r>
      <w:r>
        <w:t xml:space="preserve"> ibid</w:t>
      </w:r>
    </w:p>
  </w:footnote>
  <w:footnote w:id="300">
    <w:p w14:paraId="5D6BD00A" w14:textId="690A6CF5" w:rsidR="00682502" w:rsidRDefault="00682502">
      <w:pPr>
        <w:pStyle w:val="FootnoteText"/>
      </w:pPr>
      <w:r w:rsidRPr="00682502">
        <w:rPr>
          <w:rStyle w:val="FootnoteReference"/>
        </w:rPr>
        <w:footnoteRef/>
      </w:r>
      <w:r>
        <w:t xml:space="preserve"> ibid</w:t>
      </w:r>
    </w:p>
  </w:footnote>
  <w:footnote w:id="301">
    <w:p w14:paraId="76519048" w14:textId="2D64A61C" w:rsidR="00682502" w:rsidRDefault="00682502">
      <w:pPr>
        <w:pStyle w:val="FootnoteText"/>
      </w:pPr>
      <w:r w:rsidRPr="00682502">
        <w:rPr>
          <w:rStyle w:val="FootnoteReference"/>
        </w:rPr>
        <w:footnoteRef/>
      </w:r>
      <w:r>
        <w:t xml:space="preserve"> ibid</w:t>
      </w:r>
    </w:p>
  </w:footnote>
  <w:footnote w:id="302">
    <w:p w14:paraId="4F6D3AE0" w14:textId="5FA487D4" w:rsidR="00682502" w:rsidRDefault="00682502">
      <w:pPr>
        <w:pStyle w:val="FootnoteText"/>
      </w:pPr>
      <w:r w:rsidRPr="00682502">
        <w:rPr>
          <w:rStyle w:val="FootnoteReference"/>
        </w:rPr>
        <w:footnoteRef/>
      </w:r>
      <w:r>
        <w:t xml:space="preserve"> ibid</w:t>
      </w:r>
    </w:p>
  </w:footnote>
  <w:footnote w:id="303">
    <w:p w14:paraId="1CC4ED02" w14:textId="1A68CDF7" w:rsidR="00682502" w:rsidRDefault="00682502">
      <w:pPr>
        <w:pStyle w:val="FootnoteText"/>
      </w:pPr>
      <w:r w:rsidRPr="00682502">
        <w:rPr>
          <w:rStyle w:val="FootnoteReference"/>
        </w:rPr>
        <w:footnoteRef/>
      </w:r>
      <w:r>
        <w:t xml:space="preserve"> ibid</w:t>
      </w:r>
    </w:p>
  </w:footnote>
  <w:footnote w:id="304">
    <w:p w14:paraId="4EDEDD3D" w14:textId="284E46A9" w:rsidR="00682502" w:rsidRDefault="00682502">
      <w:pPr>
        <w:pStyle w:val="FootnoteText"/>
      </w:pPr>
      <w:r w:rsidRPr="00682502">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635491"/>
      <w:docPartObj>
        <w:docPartGallery w:val="Page Numbers (Top of Page)"/>
        <w:docPartUnique/>
      </w:docPartObj>
    </w:sdtPr>
    <w:sdtEndPr>
      <w:rPr>
        <w:noProof/>
      </w:rPr>
    </w:sdtEndPr>
    <w:sdtContent>
      <w:p w14:paraId="72C2EDE0" w14:textId="154187B1" w:rsidR="002E7CBC" w:rsidRDefault="002E7C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6C0CF9" w14:textId="77777777" w:rsidR="002E7CBC" w:rsidRDefault="002E7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83A"/>
    <w:multiLevelType w:val="hybridMultilevel"/>
    <w:tmpl w:val="9946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5375"/>
    <w:multiLevelType w:val="hybridMultilevel"/>
    <w:tmpl w:val="CC5EE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1CEC"/>
    <w:multiLevelType w:val="hybridMultilevel"/>
    <w:tmpl w:val="6F0C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06081"/>
    <w:multiLevelType w:val="hybridMultilevel"/>
    <w:tmpl w:val="FC224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B219A"/>
    <w:multiLevelType w:val="hybridMultilevel"/>
    <w:tmpl w:val="3086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17765"/>
    <w:multiLevelType w:val="hybridMultilevel"/>
    <w:tmpl w:val="7F68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84545"/>
    <w:multiLevelType w:val="hybridMultilevel"/>
    <w:tmpl w:val="3DFEA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C1857"/>
    <w:multiLevelType w:val="hybridMultilevel"/>
    <w:tmpl w:val="DED4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6422B"/>
    <w:multiLevelType w:val="hybridMultilevel"/>
    <w:tmpl w:val="4A1E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680689">
    <w:abstractNumId w:val="4"/>
  </w:num>
  <w:num w:numId="2" w16cid:durableId="722364804">
    <w:abstractNumId w:val="3"/>
  </w:num>
  <w:num w:numId="3" w16cid:durableId="1187208220">
    <w:abstractNumId w:val="6"/>
  </w:num>
  <w:num w:numId="4" w16cid:durableId="621230406">
    <w:abstractNumId w:val="2"/>
  </w:num>
  <w:num w:numId="5" w16cid:durableId="386297106">
    <w:abstractNumId w:val="0"/>
  </w:num>
  <w:num w:numId="6" w16cid:durableId="236402486">
    <w:abstractNumId w:val="1"/>
  </w:num>
  <w:num w:numId="7" w16cid:durableId="1044911997">
    <w:abstractNumId w:val="8"/>
  </w:num>
  <w:num w:numId="8" w16cid:durableId="1569143765">
    <w:abstractNumId w:val="7"/>
  </w:num>
  <w:num w:numId="9" w16cid:durableId="105153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D8"/>
    <w:rsid w:val="000131CD"/>
    <w:rsid w:val="00031F6A"/>
    <w:rsid w:val="000364F0"/>
    <w:rsid w:val="00040406"/>
    <w:rsid w:val="000479E0"/>
    <w:rsid w:val="00066616"/>
    <w:rsid w:val="00087AD6"/>
    <w:rsid w:val="00095FD7"/>
    <w:rsid w:val="0009760B"/>
    <w:rsid w:val="000A061E"/>
    <w:rsid w:val="000C5A71"/>
    <w:rsid w:val="000D6665"/>
    <w:rsid w:val="000D6E60"/>
    <w:rsid w:val="000F04BE"/>
    <w:rsid w:val="000F1961"/>
    <w:rsid w:val="000F30D6"/>
    <w:rsid w:val="000F3F93"/>
    <w:rsid w:val="00102737"/>
    <w:rsid w:val="0010319E"/>
    <w:rsid w:val="00104BEA"/>
    <w:rsid w:val="00105F9B"/>
    <w:rsid w:val="001142F1"/>
    <w:rsid w:val="00122865"/>
    <w:rsid w:val="00123D4A"/>
    <w:rsid w:val="00125120"/>
    <w:rsid w:val="001271B2"/>
    <w:rsid w:val="00150F1E"/>
    <w:rsid w:val="0016268E"/>
    <w:rsid w:val="00171ACB"/>
    <w:rsid w:val="0017290B"/>
    <w:rsid w:val="00181FC5"/>
    <w:rsid w:val="00186D84"/>
    <w:rsid w:val="001902F9"/>
    <w:rsid w:val="0019106B"/>
    <w:rsid w:val="00193942"/>
    <w:rsid w:val="001A1933"/>
    <w:rsid w:val="001A5B90"/>
    <w:rsid w:val="001B583F"/>
    <w:rsid w:val="001C2D90"/>
    <w:rsid w:val="001C5008"/>
    <w:rsid w:val="001C65F4"/>
    <w:rsid w:val="001D1469"/>
    <w:rsid w:val="001E1886"/>
    <w:rsid w:val="001F452A"/>
    <w:rsid w:val="002135E4"/>
    <w:rsid w:val="00215CBF"/>
    <w:rsid w:val="0022578C"/>
    <w:rsid w:val="00234808"/>
    <w:rsid w:val="00237B20"/>
    <w:rsid w:val="002444B6"/>
    <w:rsid w:val="0025747F"/>
    <w:rsid w:val="00270B83"/>
    <w:rsid w:val="0027355D"/>
    <w:rsid w:val="002804D6"/>
    <w:rsid w:val="0029296C"/>
    <w:rsid w:val="00294E1C"/>
    <w:rsid w:val="002A09B2"/>
    <w:rsid w:val="002B6E4F"/>
    <w:rsid w:val="002C5AEA"/>
    <w:rsid w:val="002D1DBA"/>
    <w:rsid w:val="002E1738"/>
    <w:rsid w:val="002E19E5"/>
    <w:rsid w:val="002E7CBC"/>
    <w:rsid w:val="002F052A"/>
    <w:rsid w:val="002F0D1B"/>
    <w:rsid w:val="002F1A5F"/>
    <w:rsid w:val="002F7B0A"/>
    <w:rsid w:val="0030065C"/>
    <w:rsid w:val="0030086B"/>
    <w:rsid w:val="00314662"/>
    <w:rsid w:val="003200A6"/>
    <w:rsid w:val="00323362"/>
    <w:rsid w:val="0032580E"/>
    <w:rsid w:val="00325AA3"/>
    <w:rsid w:val="00334D87"/>
    <w:rsid w:val="00336CF4"/>
    <w:rsid w:val="00337819"/>
    <w:rsid w:val="00357D80"/>
    <w:rsid w:val="00361D70"/>
    <w:rsid w:val="00370063"/>
    <w:rsid w:val="00370AC0"/>
    <w:rsid w:val="0037654E"/>
    <w:rsid w:val="003847A6"/>
    <w:rsid w:val="00384B69"/>
    <w:rsid w:val="003917B9"/>
    <w:rsid w:val="003A5805"/>
    <w:rsid w:val="003B4911"/>
    <w:rsid w:val="003B6242"/>
    <w:rsid w:val="003C0B65"/>
    <w:rsid w:val="003C554A"/>
    <w:rsid w:val="003D2A55"/>
    <w:rsid w:val="003D2FBC"/>
    <w:rsid w:val="003E040C"/>
    <w:rsid w:val="003E25FE"/>
    <w:rsid w:val="00405C35"/>
    <w:rsid w:val="00413C12"/>
    <w:rsid w:val="00421CD0"/>
    <w:rsid w:val="0042336F"/>
    <w:rsid w:val="004251C1"/>
    <w:rsid w:val="0043569F"/>
    <w:rsid w:val="00470ADE"/>
    <w:rsid w:val="00471970"/>
    <w:rsid w:val="004825B6"/>
    <w:rsid w:val="004A55E2"/>
    <w:rsid w:val="004A6689"/>
    <w:rsid w:val="004A708B"/>
    <w:rsid w:val="004B51B6"/>
    <w:rsid w:val="004D0D1B"/>
    <w:rsid w:val="004D2F25"/>
    <w:rsid w:val="004D6BB2"/>
    <w:rsid w:val="004E3256"/>
    <w:rsid w:val="004E39B1"/>
    <w:rsid w:val="004E537F"/>
    <w:rsid w:val="004E776C"/>
    <w:rsid w:val="004F3B09"/>
    <w:rsid w:val="00513DBC"/>
    <w:rsid w:val="0052516A"/>
    <w:rsid w:val="00526159"/>
    <w:rsid w:val="00540539"/>
    <w:rsid w:val="0054107B"/>
    <w:rsid w:val="00543554"/>
    <w:rsid w:val="00554BF7"/>
    <w:rsid w:val="00572C8A"/>
    <w:rsid w:val="00583212"/>
    <w:rsid w:val="00590737"/>
    <w:rsid w:val="005913B0"/>
    <w:rsid w:val="00591CDD"/>
    <w:rsid w:val="0059624E"/>
    <w:rsid w:val="005A10EE"/>
    <w:rsid w:val="005C26AC"/>
    <w:rsid w:val="005D4A79"/>
    <w:rsid w:val="005E1457"/>
    <w:rsid w:val="005E49F1"/>
    <w:rsid w:val="005F3D6E"/>
    <w:rsid w:val="00601D2E"/>
    <w:rsid w:val="006025AA"/>
    <w:rsid w:val="00614D92"/>
    <w:rsid w:val="00632699"/>
    <w:rsid w:val="00632A60"/>
    <w:rsid w:val="006365CB"/>
    <w:rsid w:val="00636B46"/>
    <w:rsid w:val="00652549"/>
    <w:rsid w:val="0065309D"/>
    <w:rsid w:val="00667C95"/>
    <w:rsid w:val="006710DD"/>
    <w:rsid w:val="00677B20"/>
    <w:rsid w:val="00682502"/>
    <w:rsid w:val="006A18F3"/>
    <w:rsid w:val="006A59F1"/>
    <w:rsid w:val="006B0E61"/>
    <w:rsid w:val="006D07B2"/>
    <w:rsid w:val="006D10E7"/>
    <w:rsid w:val="006D197B"/>
    <w:rsid w:val="006D7E9B"/>
    <w:rsid w:val="006E45C5"/>
    <w:rsid w:val="006F0A64"/>
    <w:rsid w:val="006F2165"/>
    <w:rsid w:val="006F3F13"/>
    <w:rsid w:val="006F6D98"/>
    <w:rsid w:val="00702980"/>
    <w:rsid w:val="00705719"/>
    <w:rsid w:val="00710D7C"/>
    <w:rsid w:val="00715799"/>
    <w:rsid w:val="007203C2"/>
    <w:rsid w:val="00721831"/>
    <w:rsid w:val="00743418"/>
    <w:rsid w:val="00750C9C"/>
    <w:rsid w:val="00757B96"/>
    <w:rsid w:val="00757D57"/>
    <w:rsid w:val="00771832"/>
    <w:rsid w:val="00781CE4"/>
    <w:rsid w:val="0079228B"/>
    <w:rsid w:val="00793050"/>
    <w:rsid w:val="0079772F"/>
    <w:rsid w:val="007B41E3"/>
    <w:rsid w:val="007B5B29"/>
    <w:rsid w:val="007B794F"/>
    <w:rsid w:val="007C0D7E"/>
    <w:rsid w:val="007C30FC"/>
    <w:rsid w:val="007C69D8"/>
    <w:rsid w:val="007D02CA"/>
    <w:rsid w:val="007D144C"/>
    <w:rsid w:val="007F3730"/>
    <w:rsid w:val="007F3C2B"/>
    <w:rsid w:val="007F4109"/>
    <w:rsid w:val="00800263"/>
    <w:rsid w:val="008021D0"/>
    <w:rsid w:val="00816C4F"/>
    <w:rsid w:val="00820125"/>
    <w:rsid w:val="00824DBF"/>
    <w:rsid w:val="008313B0"/>
    <w:rsid w:val="0083659F"/>
    <w:rsid w:val="008444DB"/>
    <w:rsid w:val="0088415A"/>
    <w:rsid w:val="00885695"/>
    <w:rsid w:val="00892CCC"/>
    <w:rsid w:val="008B4627"/>
    <w:rsid w:val="008C4393"/>
    <w:rsid w:val="008D108E"/>
    <w:rsid w:val="008D6347"/>
    <w:rsid w:val="008D6BCB"/>
    <w:rsid w:val="008E1883"/>
    <w:rsid w:val="008E23C8"/>
    <w:rsid w:val="008E750F"/>
    <w:rsid w:val="008E7790"/>
    <w:rsid w:val="008F2287"/>
    <w:rsid w:val="009108D1"/>
    <w:rsid w:val="0091413B"/>
    <w:rsid w:val="00914850"/>
    <w:rsid w:val="0091565B"/>
    <w:rsid w:val="00921E77"/>
    <w:rsid w:val="009246FC"/>
    <w:rsid w:val="0092753B"/>
    <w:rsid w:val="00927E39"/>
    <w:rsid w:val="00933424"/>
    <w:rsid w:val="009443ED"/>
    <w:rsid w:val="00947336"/>
    <w:rsid w:val="00950984"/>
    <w:rsid w:val="00952229"/>
    <w:rsid w:val="0095761A"/>
    <w:rsid w:val="009604B2"/>
    <w:rsid w:val="009677C0"/>
    <w:rsid w:val="00974C22"/>
    <w:rsid w:val="0097602C"/>
    <w:rsid w:val="0099694F"/>
    <w:rsid w:val="009A02B2"/>
    <w:rsid w:val="009A16F1"/>
    <w:rsid w:val="009C0CB9"/>
    <w:rsid w:val="009C2FA3"/>
    <w:rsid w:val="009C4FC7"/>
    <w:rsid w:val="009D3FFB"/>
    <w:rsid w:val="009E2628"/>
    <w:rsid w:val="009E2B70"/>
    <w:rsid w:val="009E2BD6"/>
    <w:rsid w:val="009F1379"/>
    <w:rsid w:val="00A22350"/>
    <w:rsid w:val="00A41B12"/>
    <w:rsid w:val="00A46D8A"/>
    <w:rsid w:val="00A47A1E"/>
    <w:rsid w:val="00A54F32"/>
    <w:rsid w:val="00A611BD"/>
    <w:rsid w:val="00A62C7E"/>
    <w:rsid w:val="00A641E2"/>
    <w:rsid w:val="00A76A27"/>
    <w:rsid w:val="00A86BF4"/>
    <w:rsid w:val="00A93889"/>
    <w:rsid w:val="00A93DBC"/>
    <w:rsid w:val="00A97532"/>
    <w:rsid w:val="00AA773E"/>
    <w:rsid w:val="00AA7ED6"/>
    <w:rsid w:val="00AB7E4B"/>
    <w:rsid w:val="00AC0756"/>
    <w:rsid w:val="00AC6F17"/>
    <w:rsid w:val="00AD1FA7"/>
    <w:rsid w:val="00AF68C9"/>
    <w:rsid w:val="00B17F01"/>
    <w:rsid w:val="00B223B7"/>
    <w:rsid w:val="00B24801"/>
    <w:rsid w:val="00B31765"/>
    <w:rsid w:val="00B33B5C"/>
    <w:rsid w:val="00B361D3"/>
    <w:rsid w:val="00B41CB4"/>
    <w:rsid w:val="00B51849"/>
    <w:rsid w:val="00B54B31"/>
    <w:rsid w:val="00B5558F"/>
    <w:rsid w:val="00B576BE"/>
    <w:rsid w:val="00B767C3"/>
    <w:rsid w:val="00B809BC"/>
    <w:rsid w:val="00B84EB3"/>
    <w:rsid w:val="00B878AF"/>
    <w:rsid w:val="00BB34AB"/>
    <w:rsid w:val="00BB476B"/>
    <w:rsid w:val="00BB49EB"/>
    <w:rsid w:val="00BB6E1D"/>
    <w:rsid w:val="00BB6E9A"/>
    <w:rsid w:val="00BD35D1"/>
    <w:rsid w:val="00BD3B1D"/>
    <w:rsid w:val="00BE3476"/>
    <w:rsid w:val="00BF23C2"/>
    <w:rsid w:val="00BF3D64"/>
    <w:rsid w:val="00BF42B6"/>
    <w:rsid w:val="00BF791D"/>
    <w:rsid w:val="00C023B9"/>
    <w:rsid w:val="00C1000D"/>
    <w:rsid w:val="00C14DB1"/>
    <w:rsid w:val="00C1596B"/>
    <w:rsid w:val="00C1751A"/>
    <w:rsid w:val="00C25F63"/>
    <w:rsid w:val="00C2667A"/>
    <w:rsid w:val="00C33A58"/>
    <w:rsid w:val="00C41156"/>
    <w:rsid w:val="00C42B55"/>
    <w:rsid w:val="00C44408"/>
    <w:rsid w:val="00C65420"/>
    <w:rsid w:val="00C71B2B"/>
    <w:rsid w:val="00C81DC9"/>
    <w:rsid w:val="00C875CC"/>
    <w:rsid w:val="00CA514C"/>
    <w:rsid w:val="00CC1BBB"/>
    <w:rsid w:val="00CC2E95"/>
    <w:rsid w:val="00CD75D1"/>
    <w:rsid w:val="00CE2D2D"/>
    <w:rsid w:val="00CF131D"/>
    <w:rsid w:val="00CF1FA1"/>
    <w:rsid w:val="00D0155B"/>
    <w:rsid w:val="00D0622D"/>
    <w:rsid w:val="00D12258"/>
    <w:rsid w:val="00D12A95"/>
    <w:rsid w:val="00D2656A"/>
    <w:rsid w:val="00D3690F"/>
    <w:rsid w:val="00D36D24"/>
    <w:rsid w:val="00D378EB"/>
    <w:rsid w:val="00D44017"/>
    <w:rsid w:val="00D456A4"/>
    <w:rsid w:val="00D55F49"/>
    <w:rsid w:val="00D62999"/>
    <w:rsid w:val="00D7292E"/>
    <w:rsid w:val="00D84BEC"/>
    <w:rsid w:val="00D90DBC"/>
    <w:rsid w:val="00D93962"/>
    <w:rsid w:val="00DA0041"/>
    <w:rsid w:val="00DA6C8F"/>
    <w:rsid w:val="00DC5595"/>
    <w:rsid w:val="00DC7796"/>
    <w:rsid w:val="00DF37D8"/>
    <w:rsid w:val="00E035F1"/>
    <w:rsid w:val="00E162DB"/>
    <w:rsid w:val="00E173EA"/>
    <w:rsid w:val="00E2336A"/>
    <w:rsid w:val="00E355E1"/>
    <w:rsid w:val="00E47CEB"/>
    <w:rsid w:val="00E53A94"/>
    <w:rsid w:val="00E53E74"/>
    <w:rsid w:val="00E65115"/>
    <w:rsid w:val="00E711EE"/>
    <w:rsid w:val="00E774E7"/>
    <w:rsid w:val="00E87B9A"/>
    <w:rsid w:val="00E87C85"/>
    <w:rsid w:val="00E90746"/>
    <w:rsid w:val="00EA11A6"/>
    <w:rsid w:val="00EA223B"/>
    <w:rsid w:val="00EA2357"/>
    <w:rsid w:val="00EA453E"/>
    <w:rsid w:val="00EC1C07"/>
    <w:rsid w:val="00EE3497"/>
    <w:rsid w:val="00EE79BE"/>
    <w:rsid w:val="00EF1621"/>
    <w:rsid w:val="00F001D1"/>
    <w:rsid w:val="00F002FE"/>
    <w:rsid w:val="00F0147B"/>
    <w:rsid w:val="00F020F1"/>
    <w:rsid w:val="00F03647"/>
    <w:rsid w:val="00F03C75"/>
    <w:rsid w:val="00F114EA"/>
    <w:rsid w:val="00F13B7A"/>
    <w:rsid w:val="00F14C91"/>
    <w:rsid w:val="00F2326D"/>
    <w:rsid w:val="00F32524"/>
    <w:rsid w:val="00F33758"/>
    <w:rsid w:val="00F50A14"/>
    <w:rsid w:val="00F531E5"/>
    <w:rsid w:val="00F55273"/>
    <w:rsid w:val="00F55ABF"/>
    <w:rsid w:val="00F65725"/>
    <w:rsid w:val="00F72FE1"/>
    <w:rsid w:val="00F7514A"/>
    <w:rsid w:val="00F8664D"/>
    <w:rsid w:val="00F87AD5"/>
    <w:rsid w:val="00F9648E"/>
    <w:rsid w:val="00FA5D58"/>
    <w:rsid w:val="00FB6839"/>
    <w:rsid w:val="00FC17EF"/>
    <w:rsid w:val="00FD13C7"/>
    <w:rsid w:val="00FD25B2"/>
    <w:rsid w:val="00FE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12F7C"/>
  <w15:chartTrackingRefBased/>
  <w15:docId w15:val="{3DA0FBA1-1D0B-5249-9300-578E7D5D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889"/>
    <w:rPr>
      <w:color w:val="0563C1" w:themeColor="hyperlink"/>
      <w:u w:val="single"/>
    </w:rPr>
  </w:style>
  <w:style w:type="character" w:styleId="UnresolvedMention">
    <w:name w:val="Unresolved Mention"/>
    <w:basedOn w:val="DefaultParagraphFont"/>
    <w:uiPriority w:val="99"/>
    <w:semiHidden/>
    <w:unhideWhenUsed/>
    <w:rsid w:val="00A93889"/>
    <w:rPr>
      <w:color w:val="605E5C"/>
      <w:shd w:val="clear" w:color="auto" w:fill="E1DFDD"/>
    </w:rPr>
  </w:style>
  <w:style w:type="paragraph" w:styleId="ListParagraph">
    <w:name w:val="List Paragraph"/>
    <w:basedOn w:val="Normal"/>
    <w:uiPriority w:val="34"/>
    <w:qFormat/>
    <w:rsid w:val="00A93889"/>
    <w:pPr>
      <w:ind w:left="720"/>
      <w:contextualSpacing/>
    </w:pPr>
  </w:style>
  <w:style w:type="character" w:styleId="FollowedHyperlink">
    <w:name w:val="FollowedHyperlink"/>
    <w:basedOn w:val="DefaultParagraphFont"/>
    <w:uiPriority w:val="99"/>
    <w:semiHidden/>
    <w:unhideWhenUsed/>
    <w:rsid w:val="007B5B29"/>
    <w:rPr>
      <w:color w:val="954F72" w:themeColor="followedHyperlink"/>
      <w:u w:val="single"/>
    </w:rPr>
  </w:style>
  <w:style w:type="character" w:styleId="CommentReference">
    <w:name w:val="annotation reference"/>
    <w:basedOn w:val="DefaultParagraphFont"/>
    <w:uiPriority w:val="99"/>
    <w:semiHidden/>
    <w:unhideWhenUsed/>
    <w:rsid w:val="000D6665"/>
    <w:rPr>
      <w:sz w:val="16"/>
      <w:szCs w:val="16"/>
    </w:rPr>
  </w:style>
  <w:style w:type="paragraph" w:styleId="CommentText">
    <w:name w:val="annotation text"/>
    <w:basedOn w:val="Normal"/>
    <w:link w:val="CommentTextChar"/>
    <w:uiPriority w:val="99"/>
    <w:semiHidden/>
    <w:unhideWhenUsed/>
    <w:rsid w:val="000D6665"/>
    <w:rPr>
      <w:sz w:val="20"/>
      <w:szCs w:val="20"/>
    </w:rPr>
  </w:style>
  <w:style w:type="character" w:customStyle="1" w:styleId="CommentTextChar">
    <w:name w:val="Comment Text Char"/>
    <w:basedOn w:val="DefaultParagraphFont"/>
    <w:link w:val="CommentText"/>
    <w:uiPriority w:val="99"/>
    <w:semiHidden/>
    <w:rsid w:val="000D6665"/>
    <w:rPr>
      <w:sz w:val="20"/>
      <w:szCs w:val="20"/>
    </w:rPr>
  </w:style>
  <w:style w:type="paragraph" w:styleId="CommentSubject">
    <w:name w:val="annotation subject"/>
    <w:basedOn w:val="CommentText"/>
    <w:next w:val="CommentText"/>
    <w:link w:val="CommentSubjectChar"/>
    <w:uiPriority w:val="99"/>
    <w:semiHidden/>
    <w:unhideWhenUsed/>
    <w:rsid w:val="000D6665"/>
    <w:rPr>
      <w:b/>
      <w:bCs/>
    </w:rPr>
  </w:style>
  <w:style w:type="character" w:customStyle="1" w:styleId="CommentSubjectChar">
    <w:name w:val="Comment Subject Char"/>
    <w:basedOn w:val="CommentTextChar"/>
    <w:link w:val="CommentSubject"/>
    <w:uiPriority w:val="99"/>
    <w:semiHidden/>
    <w:rsid w:val="000D6665"/>
    <w:rPr>
      <w:b/>
      <w:bCs/>
      <w:sz w:val="20"/>
      <w:szCs w:val="20"/>
    </w:rPr>
  </w:style>
  <w:style w:type="paragraph" w:styleId="BalloonText">
    <w:name w:val="Balloon Text"/>
    <w:basedOn w:val="Normal"/>
    <w:link w:val="BalloonTextChar"/>
    <w:uiPriority w:val="99"/>
    <w:semiHidden/>
    <w:unhideWhenUsed/>
    <w:rsid w:val="000D66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6665"/>
    <w:rPr>
      <w:rFonts w:ascii="Times New Roman" w:hAnsi="Times New Roman" w:cs="Times New Roman"/>
      <w:sz w:val="18"/>
      <w:szCs w:val="18"/>
    </w:rPr>
  </w:style>
  <w:style w:type="paragraph" w:styleId="NormalWeb">
    <w:name w:val="Normal (Web)"/>
    <w:basedOn w:val="Normal"/>
    <w:uiPriority w:val="99"/>
    <w:semiHidden/>
    <w:unhideWhenUsed/>
    <w:rsid w:val="007B41E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20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5725"/>
    <w:rPr>
      <w:sz w:val="20"/>
      <w:szCs w:val="20"/>
    </w:rPr>
  </w:style>
  <w:style w:type="character" w:customStyle="1" w:styleId="FootnoteTextChar">
    <w:name w:val="Footnote Text Char"/>
    <w:basedOn w:val="DefaultParagraphFont"/>
    <w:link w:val="FootnoteText"/>
    <w:uiPriority w:val="99"/>
    <w:semiHidden/>
    <w:rsid w:val="00F65725"/>
    <w:rPr>
      <w:sz w:val="20"/>
      <w:szCs w:val="20"/>
    </w:rPr>
  </w:style>
  <w:style w:type="character" w:styleId="FootnoteReference">
    <w:name w:val="footnote reference"/>
    <w:basedOn w:val="DefaultParagraphFont"/>
    <w:uiPriority w:val="99"/>
    <w:semiHidden/>
    <w:unhideWhenUsed/>
    <w:rsid w:val="00F65725"/>
    <w:rPr>
      <w:vertAlign w:val="superscript"/>
    </w:rPr>
  </w:style>
  <w:style w:type="character" w:styleId="EndnoteReference">
    <w:name w:val="endnote reference"/>
    <w:basedOn w:val="DefaultParagraphFont"/>
    <w:uiPriority w:val="99"/>
    <w:semiHidden/>
    <w:unhideWhenUsed/>
    <w:rsid w:val="00682502"/>
    <w:rPr>
      <w:vertAlign w:val="superscript"/>
    </w:rPr>
  </w:style>
  <w:style w:type="paragraph" w:styleId="Revision">
    <w:name w:val="Revision"/>
    <w:hidden/>
    <w:uiPriority w:val="99"/>
    <w:semiHidden/>
    <w:rsid w:val="008C4393"/>
  </w:style>
  <w:style w:type="paragraph" w:styleId="Header">
    <w:name w:val="header"/>
    <w:basedOn w:val="Normal"/>
    <w:link w:val="HeaderChar"/>
    <w:uiPriority w:val="99"/>
    <w:unhideWhenUsed/>
    <w:rsid w:val="002E7CBC"/>
    <w:pPr>
      <w:tabs>
        <w:tab w:val="center" w:pos="4680"/>
        <w:tab w:val="right" w:pos="9360"/>
      </w:tabs>
    </w:pPr>
  </w:style>
  <w:style w:type="character" w:customStyle="1" w:styleId="HeaderChar">
    <w:name w:val="Header Char"/>
    <w:basedOn w:val="DefaultParagraphFont"/>
    <w:link w:val="Header"/>
    <w:uiPriority w:val="99"/>
    <w:rsid w:val="002E7CBC"/>
  </w:style>
  <w:style w:type="paragraph" w:styleId="Footer">
    <w:name w:val="footer"/>
    <w:basedOn w:val="Normal"/>
    <w:link w:val="FooterChar"/>
    <w:uiPriority w:val="99"/>
    <w:unhideWhenUsed/>
    <w:rsid w:val="002E7CBC"/>
    <w:pPr>
      <w:tabs>
        <w:tab w:val="center" w:pos="4680"/>
        <w:tab w:val="right" w:pos="9360"/>
      </w:tabs>
    </w:pPr>
  </w:style>
  <w:style w:type="character" w:customStyle="1" w:styleId="FooterChar">
    <w:name w:val="Footer Char"/>
    <w:basedOn w:val="DefaultParagraphFont"/>
    <w:link w:val="Footer"/>
    <w:uiPriority w:val="99"/>
    <w:rsid w:val="002E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431">
      <w:bodyDiv w:val="1"/>
      <w:marLeft w:val="0"/>
      <w:marRight w:val="0"/>
      <w:marTop w:val="0"/>
      <w:marBottom w:val="0"/>
      <w:divBdr>
        <w:top w:val="none" w:sz="0" w:space="0" w:color="auto"/>
        <w:left w:val="none" w:sz="0" w:space="0" w:color="auto"/>
        <w:bottom w:val="none" w:sz="0" w:space="0" w:color="auto"/>
        <w:right w:val="none" w:sz="0" w:space="0" w:color="auto"/>
      </w:divBdr>
    </w:div>
    <w:div w:id="1551377722">
      <w:bodyDiv w:val="1"/>
      <w:marLeft w:val="0"/>
      <w:marRight w:val="0"/>
      <w:marTop w:val="0"/>
      <w:marBottom w:val="0"/>
      <w:divBdr>
        <w:top w:val="none" w:sz="0" w:space="0" w:color="auto"/>
        <w:left w:val="none" w:sz="0" w:space="0" w:color="auto"/>
        <w:bottom w:val="none" w:sz="0" w:space="0" w:color="auto"/>
        <w:right w:val="none" w:sz="0" w:space="0" w:color="auto"/>
      </w:divBdr>
    </w:div>
    <w:div w:id="1718354558">
      <w:bodyDiv w:val="1"/>
      <w:marLeft w:val="0"/>
      <w:marRight w:val="0"/>
      <w:marTop w:val="0"/>
      <w:marBottom w:val="0"/>
      <w:divBdr>
        <w:top w:val="none" w:sz="0" w:space="0" w:color="auto"/>
        <w:left w:val="none" w:sz="0" w:space="0" w:color="auto"/>
        <w:bottom w:val="none" w:sz="0" w:space="0" w:color="auto"/>
        <w:right w:val="none" w:sz="0" w:space="0" w:color="auto"/>
      </w:divBdr>
    </w:div>
    <w:div w:id="172775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news/item/06-05-2021-the-unicef-who-wb-joint-child-malnutrition-estimates-grou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alyssascott\Documents\UNC%20MPH\Practicum\Curamericas\Kenya%20Lit%20Review\Tables%20and%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lyssascott\Documents\UNC%20MPH\Practicum\Curamericas\Kenya%20Lit%20Review\Tables%20and%20Fig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Distribution of Child Mortality in Kenya, 2014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7C6-E64C-91E9-D0DDDC0AA5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7C6-E64C-91E9-D0DDDC0AA5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7C6-E64C-91E9-D0DDDC0AA5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'Time of under-five mortality'!$A$1:$A$3</c:f>
              <c:strCache>
                <c:ptCount val="3"/>
                <c:pt idx="0">
                  <c:v>Neonatal period*</c:v>
                </c:pt>
                <c:pt idx="1">
                  <c:v>Postneonatal*</c:v>
                </c:pt>
                <c:pt idx="2">
                  <c:v>Childhood*</c:v>
                </c:pt>
              </c:strCache>
            </c:strRef>
          </c:cat>
          <c:val>
            <c:numRef>
              <c:f>'Time of under-five mortality'!$B$1:$B$3</c:f>
              <c:numCache>
                <c:formatCode>General</c:formatCode>
                <c:ptCount val="3"/>
                <c:pt idx="0">
                  <c:v>48</c:v>
                </c:pt>
                <c:pt idx="1">
                  <c:v>36</c:v>
                </c:pt>
                <c:pt idx="2">
                  <c:v>16</c:v>
                </c:pt>
              </c:numCache>
            </c:numRef>
          </c:val>
          <c:extLst>
            <c:ext xmlns:c16="http://schemas.microsoft.com/office/drawing/2014/chart" uri="{C3380CC4-5D6E-409C-BE32-E72D297353CC}">
              <c16:uniqueId val="{00000006-77C6-E64C-91E9-D0DDDC0AA50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Major causes of under</a:t>
            </a:r>
            <a:r>
              <a:rPr lang="en-US" baseline="0">
                <a:solidFill>
                  <a:schemeClr val="tx1"/>
                </a:solidFill>
              </a:rPr>
              <a:t>-five mortality in Kenya, 2019</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B9-4A4B-B224-92CA55EEF8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B9-4A4B-B224-92CA55EEF8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B9-4A4B-B224-92CA55EEF8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CB9-4A4B-B224-92CA55EEF84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CB9-4A4B-B224-92CA55EEF84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CB9-4A4B-B224-92CA55EEF8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('Kenya under-five mortality'!$A$1:$A$5,'Kenya under-five mortality'!$A$7)</c:f>
              <c:strCache>
                <c:ptCount val="6"/>
                <c:pt idx="0">
                  <c:v>Neonatal disorders</c:v>
                </c:pt>
                <c:pt idx="1">
                  <c:v>Diarrheal disease</c:v>
                </c:pt>
                <c:pt idx="2">
                  <c:v>Lower respiratory infections</c:v>
                </c:pt>
                <c:pt idx="3">
                  <c:v>Malaria</c:v>
                </c:pt>
                <c:pt idx="4">
                  <c:v>Congenital defects</c:v>
                </c:pt>
                <c:pt idx="5">
                  <c:v>Other*</c:v>
                </c:pt>
              </c:strCache>
            </c:strRef>
          </c:cat>
          <c:val>
            <c:numRef>
              <c:f>('Kenya under-five mortality'!$B$1:$B$5,'Kenya under-five mortality'!$B$7)</c:f>
              <c:numCache>
                <c:formatCode>General</c:formatCode>
                <c:ptCount val="6"/>
                <c:pt idx="0">
                  <c:v>34.299999999999997</c:v>
                </c:pt>
                <c:pt idx="1">
                  <c:v>14.7</c:v>
                </c:pt>
                <c:pt idx="2">
                  <c:v>11.8</c:v>
                </c:pt>
                <c:pt idx="3">
                  <c:v>8.6999999999999993</c:v>
                </c:pt>
                <c:pt idx="4">
                  <c:v>6.1</c:v>
                </c:pt>
                <c:pt idx="5">
                  <c:v>24.400000000000006</c:v>
                </c:pt>
              </c:numCache>
            </c:numRef>
          </c:val>
          <c:extLst>
            <c:ext xmlns:c16="http://schemas.microsoft.com/office/drawing/2014/chart" uri="{C3380CC4-5D6E-409C-BE32-E72D297353CC}">
              <c16:uniqueId val="{0000000C-9CB9-4A4B-B224-92CA55EEF840}"/>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6EDB-522D-0746-8120-BFF540FF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12900</Words>
  <Characters>73532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Scott</dc:creator>
  <cp:keywords/>
  <dc:description/>
  <cp:lastModifiedBy>Ira S</cp:lastModifiedBy>
  <cp:revision>2</cp:revision>
  <dcterms:created xsi:type="dcterms:W3CDTF">2022-06-21T14:44:00Z</dcterms:created>
  <dcterms:modified xsi:type="dcterms:W3CDTF">2022-06-21T14:44:00Z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f87cff9f-0672-310d-b135-0b8e49363642</vt:lpwstr>
  </property>
  <property fmtid="{D5CDD505-2E9C-101B-9397-08002B2CF9AE}" pid="24" name="Mendeley Citation Style_1">
    <vt:lpwstr>http://www.zotero.org/styles/american-medical-association</vt:lpwstr>
  </property>
</Properties>
</file>